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ook w:val="04A0" w:firstRow="1" w:lastRow="0" w:firstColumn="1" w:lastColumn="0" w:noHBand="0" w:noVBand="1"/>
      </w:tblPr>
      <w:tblGrid>
        <w:gridCol w:w="3403"/>
        <w:gridCol w:w="5953"/>
      </w:tblGrid>
      <w:tr w:rsidR="002928E9" w:rsidRPr="00E61D96" w:rsidTr="00337EA1">
        <w:tc>
          <w:tcPr>
            <w:tcW w:w="3403" w:type="dxa"/>
          </w:tcPr>
          <w:p w:rsidR="002928E9" w:rsidRPr="00E61D96" w:rsidRDefault="002928E9" w:rsidP="0044539E">
            <w:pPr>
              <w:tabs>
                <w:tab w:val="num" w:pos="360"/>
              </w:tabs>
              <w:spacing w:line="264" w:lineRule="auto"/>
              <w:ind w:left="-142" w:right="-108"/>
              <w:jc w:val="center"/>
              <w:rPr>
                <w:rFonts w:eastAsia="MS Mincho"/>
                <w:b/>
                <w:sz w:val="24"/>
                <w:szCs w:val="24"/>
              </w:rPr>
            </w:pPr>
            <w:r>
              <w:rPr>
                <w:rFonts w:eastAsia="MS Mincho"/>
                <w:b/>
                <w:sz w:val="24"/>
                <w:szCs w:val="24"/>
              </w:rPr>
              <w:t>CHÍNH PHỦ</w:t>
            </w:r>
          </w:p>
          <w:p w:rsidR="002928E9" w:rsidRPr="00E61D96" w:rsidRDefault="002928E9" w:rsidP="00E4749E">
            <w:pPr>
              <w:tabs>
                <w:tab w:val="num" w:pos="360"/>
              </w:tabs>
              <w:spacing w:line="264" w:lineRule="auto"/>
              <w:ind w:left="-142" w:right="-108"/>
              <w:jc w:val="center"/>
              <w:rPr>
                <w:rFonts w:eastAsia="MS Mincho"/>
                <w:b/>
                <w:sz w:val="24"/>
                <w:szCs w:val="24"/>
              </w:rPr>
            </w:pPr>
            <w:r w:rsidRPr="00E61D96">
              <w:rPr>
                <w:noProof/>
                <w:szCs w:val="20"/>
              </w:rPr>
              <mc:AlternateContent>
                <mc:Choice Requires="wps">
                  <w:drawing>
                    <wp:anchor distT="0" distB="0" distL="114300" distR="114300" simplePos="0" relativeHeight="251659264" behindDoc="0" locked="0" layoutInCell="1" allowOverlap="1">
                      <wp:simplePos x="0" y="0"/>
                      <wp:positionH relativeFrom="column">
                        <wp:posOffset>631190</wp:posOffset>
                      </wp:positionH>
                      <wp:positionV relativeFrom="paragraph">
                        <wp:posOffset>13970</wp:posOffset>
                      </wp:positionV>
                      <wp:extent cx="765175" cy="635"/>
                      <wp:effectExtent l="0" t="0" r="34925" b="374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1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D9790F" id="_x0000_t32" coordsize="21600,21600" o:spt="32" o:oned="t" path="m,l21600,21600e" filled="f">
                      <v:path arrowok="t" fillok="f" o:connecttype="none"/>
                      <o:lock v:ext="edit" shapetype="t"/>
                    </v:shapetype>
                    <v:shape id="Straight Arrow Connector 3" o:spid="_x0000_s1026" type="#_x0000_t32" style="position:absolute;margin-left:49.7pt;margin-top:1.1pt;width:60.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"/>
                  </w:pict>
                </mc:Fallback>
              </mc:AlternateContent>
            </w:r>
          </w:p>
          <w:p w:rsidR="002928E9" w:rsidRPr="00E61D96" w:rsidRDefault="002928E9" w:rsidP="00E4749E">
            <w:pPr>
              <w:tabs>
                <w:tab w:val="num" w:pos="360"/>
              </w:tabs>
              <w:spacing w:line="264" w:lineRule="auto"/>
              <w:ind w:left="-142" w:right="-108"/>
              <w:jc w:val="center"/>
              <w:rPr>
                <w:rFonts w:eastAsia="MS Mincho"/>
                <w:sz w:val="26"/>
                <w:szCs w:val="26"/>
                <w:lang w:eastAsia="ja-JP"/>
              </w:rPr>
            </w:pPr>
            <w:r w:rsidRPr="00E61D96">
              <w:rPr>
                <w:rFonts w:eastAsia="MS Mincho"/>
                <w:sz w:val="26"/>
                <w:szCs w:val="26"/>
                <w:lang w:eastAsia="ja-JP"/>
              </w:rPr>
              <w:t xml:space="preserve">Số: </w:t>
            </w:r>
            <w:r>
              <w:rPr>
                <w:rFonts w:eastAsia="MS Mincho"/>
                <w:sz w:val="26"/>
                <w:szCs w:val="26"/>
                <w:lang w:eastAsia="ja-JP"/>
              </w:rPr>
              <w:t xml:space="preserve">  </w:t>
            </w:r>
            <w:r w:rsidRPr="00E61D96">
              <w:rPr>
                <w:rFonts w:eastAsia="MS Mincho"/>
                <w:sz w:val="26"/>
                <w:szCs w:val="26"/>
                <w:lang w:eastAsia="ja-JP"/>
              </w:rPr>
              <w:t xml:space="preserve">  </w:t>
            </w:r>
            <w:r>
              <w:rPr>
                <w:rFonts w:eastAsia="MS Mincho"/>
                <w:sz w:val="26"/>
                <w:szCs w:val="26"/>
                <w:lang w:eastAsia="ja-JP"/>
              </w:rPr>
              <w:t xml:space="preserve">  </w:t>
            </w:r>
            <w:r w:rsidRPr="00E61D96">
              <w:rPr>
                <w:rFonts w:eastAsia="MS Mincho"/>
                <w:sz w:val="26"/>
                <w:szCs w:val="26"/>
                <w:lang w:eastAsia="ja-JP"/>
              </w:rPr>
              <w:t xml:space="preserve">     /TTr</w:t>
            </w:r>
            <w:r>
              <w:rPr>
                <w:rFonts w:eastAsia="MS Mincho"/>
                <w:sz w:val="26"/>
                <w:szCs w:val="26"/>
                <w:lang w:eastAsia="ja-JP"/>
              </w:rPr>
              <w:t>-CP</w:t>
            </w:r>
          </w:p>
          <w:p w:rsidR="002928E9" w:rsidRPr="00E61D96" w:rsidRDefault="002928E9" w:rsidP="00E4749E">
            <w:pPr>
              <w:tabs>
                <w:tab w:val="num" w:pos="360"/>
              </w:tabs>
              <w:spacing w:line="264" w:lineRule="auto"/>
              <w:ind w:left="-142" w:right="-108"/>
              <w:jc w:val="center"/>
              <w:rPr>
                <w:rFonts w:eastAsia="MS Mincho"/>
                <w:b/>
                <w:sz w:val="24"/>
                <w:szCs w:val="24"/>
                <w:lang w:eastAsia="ja-JP"/>
              </w:rPr>
            </w:pPr>
          </w:p>
        </w:tc>
        <w:tc>
          <w:tcPr>
            <w:tcW w:w="5953" w:type="dxa"/>
          </w:tcPr>
          <w:p w:rsidR="002928E9" w:rsidRPr="00E61D96" w:rsidRDefault="002928E9" w:rsidP="00E4749E">
            <w:pPr>
              <w:tabs>
                <w:tab w:val="num" w:pos="360"/>
              </w:tabs>
              <w:spacing w:line="264" w:lineRule="auto"/>
              <w:ind w:left="-108"/>
              <w:jc w:val="center"/>
              <w:rPr>
                <w:rFonts w:eastAsia="MS Mincho"/>
                <w:b/>
                <w:sz w:val="24"/>
                <w:szCs w:val="24"/>
                <w:lang w:eastAsia="ja-JP"/>
              </w:rPr>
            </w:pPr>
            <w:r w:rsidRPr="00E61D96">
              <w:rPr>
                <w:rFonts w:eastAsia="MS Mincho"/>
                <w:b/>
                <w:sz w:val="24"/>
                <w:szCs w:val="24"/>
              </w:rPr>
              <w:t xml:space="preserve">CỘNG HÒA XÃ HỘI CHỦ NGHĨA VIỆT </w:t>
            </w:r>
            <w:smartTag w:uri="urn:schemas-microsoft-com:office:smarttags" w:element="place">
              <w:smartTag w:uri="urn:schemas-microsoft-com:office:smarttags" w:element="country-region">
                <w:r w:rsidRPr="00E61D96">
                  <w:rPr>
                    <w:rFonts w:eastAsia="MS Mincho"/>
                    <w:b/>
                    <w:sz w:val="24"/>
                    <w:szCs w:val="24"/>
                  </w:rPr>
                  <w:t>NAM</w:t>
                </w:r>
              </w:smartTag>
            </w:smartTag>
          </w:p>
          <w:p w:rsidR="002928E9" w:rsidRPr="00E61D96" w:rsidRDefault="002928E9" w:rsidP="00E4749E">
            <w:pPr>
              <w:tabs>
                <w:tab w:val="num" w:pos="360"/>
              </w:tabs>
              <w:spacing w:line="252" w:lineRule="auto"/>
              <w:ind w:left="-108"/>
              <w:jc w:val="center"/>
              <w:rPr>
                <w:rFonts w:eastAsia="MS Mincho"/>
                <w:b/>
                <w:sz w:val="26"/>
                <w:szCs w:val="26"/>
                <w:lang w:eastAsia="ja-JP"/>
              </w:rPr>
            </w:pPr>
            <w:r w:rsidRPr="00E61D96">
              <w:rPr>
                <w:rFonts w:eastAsia="MS Mincho"/>
                <w:b/>
                <w:sz w:val="26"/>
                <w:szCs w:val="26"/>
              </w:rPr>
              <w:t>Độc lập - Tự do - Hanh phúc</w:t>
            </w:r>
          </w:p>
          <w:p w:rsidR="002928E9" w:rsidRPr="00E61D96" w:rsidRDefault="00337EA1" w:rsidP="00E4749E">
            <w:pPr>
              <w:ind w:left="-108"/>
              <w:jc w:val="center"/>
              <w:rPr>
                <w:rFonts w:eastAsia="MS Mincho"/>
                <w:sz w:val="26"/>
                <w:szCs w:val="26"/>
                <w:lang w:eastAsia="ja-JP"/>
              </w:rPr>
            </w:pPr>
            <w:r w:rsidRPr="00E61D96">
              <w:rPr>
                <w:rFonts w:eastAsia="MS Mincho"/>
                <w:noProof/>
                <w:sz w:val="26"/>
                <w:szCs w:val="26"/>
              </w:rPr>
              <mc:AlternateContent>
                <mc:Choice Requires="wps">
                  <w:drawing>
                    <wp:anchor distT="0" distB="0" distL="114300" distR="114300" simplePos="0" relativeHeight="251660288" behindDoc="0" locked="0" layoutInCell="1" allowOverlap="1" wp14:anchorId="784B65E4" wp14:editId="7F90C865">
                      <wp:simplePos x="0" y="0"/>
                      <wp:positionH relativeFrom="column">
                        <wp:posOffset>777875</wp:posOffset>
                      </wp:positionH>
                      <wp:positionV relativeFrom="paragraph">
                        <wp:posOffset>21590</wp:posOffset>
                      </wp:positionV>
                      <wp:extent cx="1997710" cy="0"/>
                      <wp:effectExtent l="0" t="0" r="2159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87D33" id="Straight Arrow Connector 2" o:spid="_x0000_s1026" type="#_x0000_t32" style="position:absolute;margin-left:61.25pt;margin-top:1.7pt;width:157.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GmK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"/>
                  </w:pict>
                </mc:Fallback>
              </mc:AlternateContent>
            </w:r>
          </w:p>
          <w:p w:rsidR="002928E9" w:rsidRPr="00E61D96" w:rsidRDefault="002928E9" w:rsidP="007F7297">
            <w:pPr>
              <w:tabs>
                <w:tab w:val="left" w:pos="1305"/>
              </w:tabs>
              <w:ind w:left="-108"/>
              <w:jc w:val="center"/>
              <w:rPr>
                <w:rFonts w:eastAsia="MS Mincho"/>
                <w:i/>
                <w:sz w:val="26"/>
                <w:szCs w:val="26"/>
                <w:lang w:eastAsia="ja-JP"/>
              </w:rPr>
            </w:pPr>
            <w:r w:rsidRPr="001A4190">
              <w:rPr>
                <w:rFonts w:eastAsia="MS Mincho"/>
                <w:i/>
                <w:szCs w:val="26"/>
                <w:lang w:eastAsia="ja-JP"/>
              </w:rPr>
              <w:t>Hà Nội, ngày      tháng</w:t>
            </w:r>
            <w:r w:rsidR="001A4190" w:rsidRPr="001A4190">
              <w:rPr>
                <w:rFonts w:eastAsia="MS Mincho"/>
                <w:i/>
                <w:szCs w:val="26"/>
                <w:lang w:eastAsia="ja-JP"/>
              </w:rPr>
              <w:t xml:space="preserve"> </w:t>
            </w:r>
            <w:r w:rsidR="007F7297">
              <w:rPr>
                <w:rFonts w:eastAsia="MS Mincho"/>
                <w:i/>
                <w:szCs w:val="26"/>
                <w:lang w:eastAsia="ja-JP"/>
              </w:rPr>
              <w:t xml:space="preserve">    </w:t>
            </w:r>
            <w:r w:rsidR="001A4190" w:rsidRPr="001A4190">
              <w:rPr>
                <w:rFonts w:eastAsia="MS Mincho"/>
                <w:i/>
                <w:szCs w:val="26"/>
                <w:lang w:eastAsia="ja-JP"/>
              </w:rPr>
              <w:t xml:space="preserve"> </w:t>
            </w:r>
            <w:r w:rsidRPr="001A4190">
              <w:rPr>
                <w:rFonts w:eastAsia="MS Mincho"/>
                <w:i/>
                <w:szCs w:val="26"/>
                <w:lang w:eastAsia="ja-JP"/>
              </w:rPr>
              <w:t>năm 2024</w:t>
            </w:r>
          </w:p>
        </w:tc>
      </w:tr>
    </w:tbl>
    <w:p w:rsidR="002928E9" w:rsidRPr="00E61D96" w:rsidRDefault="002928E9" w:rsidP="002928E9">
      <w:pPr>
        <w:spacing w:before="240" w:after="120"/>
        <w:jc w:val="center"/>
        <w:rPr>
          <w:rFonts w:eastAsia="MS Mincho"/>
          <w:b/>
          <w:lang w:eastAsia="ja-JP"/>
        </w:rPr>
      </w:pPr>
      <w:r w:rsidRPr="00E61D96">
        <w:rPr>
          <w:rFonts w:eastAsia="MS Mincho"/>
          <w:b/>
          <w:lang w:eastAsia="ja-JP"/>
        </w:rPr>
        <w:t>TỜ TRÌNH</w:t>
      </w:r>
    </w:p>
    <w:p w:rsidR="002928E9" w:rsidRDefault="00993010" w:rsidP="002928E9">
      <w:pPr>
        <w:jc w:val="center"/>
        <w:rPr>
          <w:b/>
        </w:rPr>
      </w:pPr>
      <w:r>
        <w:rPr>
          <w:rFonts w:eastAsia="MS Mincho"/>
          <w:b/>
          <w:lang w:eastAsia="ja-JP"/>
        </w:rPr>
        <w:t xml:space="preserve">Về </w:t>
      </w:r>
      <w:r w:rsidR="002928E9" w:rsidRPr="00846945">
        <w:rPr>
          <w:rFonts w:eastAsia="MS Mincho"/>
          <w:b/>
          <w:lang w:eastAsia="ja-JP"/>
        </w:rPr>
        <w:t>Nghị quyết của Ủy ban Thường vụ Quốc hội v</w:t>
      </w:r>
      <w:r w:rsidR="002928E9" w:rsidRPr="00846945">
        <w:rPr>
          <w:b/>
          <w:bCs/>
          <w:color w:val="000000"/>
        </w:rPr>
        <w:t xml:space="preserve">ề việc ghi nhận thời gian đóng </w:t>
      </w:r>
      <w:r w:rsidR="002928E9" w:rsidRPr="00846945">
        <w:rPr>
          <w:b/>
          <w:lang w:val="vi-VN"/>
        </w:rPr>
        <w:t xml:space="preserve">bảo hiểm xã hội bắt buộc của chủ hộ kinh doanh đã tham gia trước ngày Luật Bảo hiểm xã hội </w:t>
      </w:r>
      <w:r w:rsidR="002928E9" w:rsidRPr="00846945">
        <w:rPr>
          <w:b/>
          <w:bCs/>
          <w:iCs/>
          <w:lang w:val="nl-NL"/>
        </w:rPr>
        <w:t xml:space="preserve">số 41/2024/QH15 </w:t>
      </w:r>
      <w:r w:rsidR="002928E9" w:rsidRPr="00846945">
        <w:rPr>
          <w:b/>
          <w:lang w:val="vi-VN"/>
        </w:rPr>
        <w:t xml:space="preserve">có hiệu lực thi hành để làm căn cứ giải quyết chế độ bảo hiểm xã hội theo quy định của pháp luật </w:t>
      </w:r>
    </w:p>
    <w:p w:rsidR="002928E9" w:rsidRPr="00846945" w:rsidRDefault="002928E9" w:rsidP="002928E9">
      <w:pPr>
        <w:jc w:val="center"/>
        <w:rPr>
          <w:b/>
          <w:bCs/>
          <w:color w:val="000000"/>
        </w:rPr>
      </w:pPr>
      <w:r w:rsidRPr="00846945">
        <w:rPr>
          <w:b/>
          <w:lang w:val="vi-VN"/>
        </w:rPr>
        <w:t>về bảo hiểm xã hội</w:t>
      </w:r>
    </w:p>
    <w:p w:rsidR="002928E9" w:rsidRPr="00E61D96" w:rsidRDefault="000047AE" w:rsidP="002928E9">
      <w:pPr>
        <w:spacing w:before="120" w:after="120" w:line="247" w:lineRule="auto"/>
        <w:jc w:val="center"/>
        <w:rPr>
          <w:rFonts w:eastAsia="MS Mincho"/>
          <w:lang w:eastAsia="ja-JP"/>
        </w:rPr>
      </w:pPr>
      <w:r>
        <w:rPr>
          <w:rFonts w:eastAsia="MS Mincho"/>
          <w:noProof/>
        </w:rPr>
        <mc:AlternateContent>
          <mc:Choice Requires="wps">
            <w:drawing>
              <wp:anchor distT="0" distB="0" distL="114300" distR="114300" simplePos="0" relativeHeight="251661312" behindDoc="0" locked="0" layoutInCell="1" allowOverlap="1" wp14:anchorId="304F10DB" wp14:editId="644662AB">
                <wp:simplePos x="0" y="0"/>
                <wp:positionH relativeFrom="column">
                  <wp:posOffset>2186305</wp:posOffset>
                </wp:positionH>
                <wp:positionV relativeFrom="paragraph">
                  <wp:posOffset>19685</wp:posOffset>
                </wp:positionV>
                <wp:extent cx="1411605" cy="0"/>
                <wp:effectExtent l="0" t="0" r="361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8B1A9E" id="_x0000_t32" coordsize="21600,21600" o:spt="32" o:oned="t" path="m,l21600,21600e" filled="f">
                <v:path arrowok="t" fillok="f" o:connecttype="none"/>
                <o:lock v:ext="edit" shapetype="t"/>
              </v:shapetype>
              <v:shape id="Straight Arrow Connector 1" o:spid="_x0000_s1026" type="#_x0000_t32" style="position:absolute;margin-left:172.15pt;margin-top:1.55pt;width:111.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"/>
            </w:pict>
          </mc:Fallback>
        </mc:AlternateContent>
      </w:r>
    </w:p>
    <w:p w:rsidR="002928E9" w:rsidRDefault="002928E9" w:rsidP="002928E9">
      <w:pPr>
        <w:spacing w:before="120" w:after="120" w:line="247" w:lineRule="auto"/>
        <w:jc w:val="center"/>
        <w:rPr>
          <w:rFonts w:eastAsia="MS Mincho"/>
          <w:lang w:eastAsia="ja-JP"/>
        </w:rPr>
      </w:pPr>
      <w:r w:rsidRPr="00E61D96">
        <w:rPr>
          <w:rFonts w:eastAsia="MS Mincho"/>
          <w:lang w:eastAsia="ja-JP"/>
        </w:rPr>
        <w:t xml:space="preserve">Kính gửi: </w:t>
      </w:r>
      <w:r>
        <w:rPr>
          <w:rFonts w:eastAsia="MS Mincho"/>
          <w:lang w:eastAsia="ja-JP"/>
        </w:rPr>
        <w:t>Ủy ban Thường vụ Quốc hội</w:t>
      </w:r>
    </w:p>
    <w:p w:rsidR="002928E9" w:rsidRDefault="002928E9" w:rsidP="002928E9">
      <w:pPr>
        <w:spacing w:before="120" w:after="120" w:line="247" w:lineRule="auto"/>
        <w:jc w:val="center"/>
        <w:rPr>
          <w:rFonts w:eastAsia="MS Mincho"/>
          <w:lang w:eastAsia="ja-JP"/>
        </w:rPr>
      </w:pPr>
    </w:p>
    <w:p w:rsidR="002928E9" w:rsidRPr="00337EA1" w:rsidRDefault="0010647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Thực hiện </w:t>
      </w:r>
      <w:r w:rsidRPr="008D5E5A">
        <w:t>Nghị quyết số 100/2023/QH15 ngày 24/6/2023 của Quốc hội về hoạt động chất vấn tại Kỳ họp thứ 5, Quốc hội khóa XV</w:t>
      </w:r>
      <w:r>
        <w:t xml:space="preserve"> và</w:t>
      </w:r>
      <w:r w:rsidRPr="00337EA1">
        <w:t xml:space="preserve"> Nghị quyết số 142/2024/QH15 ngày 29/6/2024 của Quốc hội về Kỳ họp thứ 7, Quốc hội khóa XV;</w:t>
      </w:r>
      <w:r>
        <w:t xml:space="preserve"> căn cứ </w:t>
      </w:r>
      <w:r w:rsidRPr="008D5E5A">
        <w:t>quy định của Luật Ban hành văn bản quy phạm pháp luật năm 2015</w:t>
      </w:r>
      <w:r>
        <w:t>,</w:t>
      </w:r>
      <w:r w:rsidRPr="00337EA1">
        <w:t xml:space="preserve"> trên cơ sở</w:t>
      </w:r>
      <w:r>
        <w:t xml:space="preserve"> tổng kết, đánh giá</w:t>
      </w:r>
      <w:r w:rsidRPr="00337EA1">
        <w:t xml:space="preserve"> tình hình thực hiện bảo hiểm xã hội đối với chủ hộ kinh doanh, Chính phủ trình Ủy ban Thường vụ Quốc hội </w:t>
      </w:r>
      <w:r>
        <w:t xml:space="preserve">dự thảo </w:t>
      </w:r>
      <w:r w:rsidRPr="008D5E5A">
        <w:t xml:space="preserve">Nghị quyết </w:t>
      </w:r>
      <w:r w:rsidR="002928E9" w:rsidRPr="00337EA1">
        <w:t>về việc ghi nhận thời gian đóng bảo hiểm xã hội bắt buộc của chủ hộ kinh doanh đã tham gia trước ngày Luật Bảo hiểm xã hội số 41/2024/QH15 có hiệu lực thi hành để làm căn cứ giải quyết chế độ bảo hiểm xã hội theo quy định của pháp luật về bảo hiểm xã hội (BHXH) như sau:</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sz w:val="26"/>
          <w:szCs w:val="26"/>
        </w:rPr>
      </w:pPr>
      <w:r w:rsidRPr="00337EA1">
        <w:rPr>
          <w:b/>
          <w:sz w:val="26"/>
          <w:szCs w:val="26"/>
        </w:rPr>
        <w:t>I. SỰ CẦN THIẾT BAN HÀNH NGHỊ QUYẾT</w:t>
      </w:r>
    </w:p>
    <w:p w:rsidR="0021359D" w:rsidRPr="00337EA1" w:rsidRDefault="00970942"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rPr>
      </w:pPr>
      <w:r>
        <w:rPr>
          <w:b/>
        </w:rPr>
        <w:t>1</w:t>
      </w:r>
      <w:r w:rsidR="0021359D" w:rsidRPr="00337EA1">
        <w:rPr>
          <w:b/>
        </w:rPr>
        <w:t>. Cơ sở chính trị, pháp lý</w:t>
      </w:r>
    </w:p>
    <w:p w:rsidR="0021359D" w:rsidRPr="00337EA1" w:rsidRDefault="0021359D"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Theo Điều 34 của Hiến pháp năm 2013 khẳng định:“Công dân có quyền được bảo đảm an sinh xã hội”.</w:t>
      </w:r>
    </w:p>
    <w:p w:rsidR="0021359D" w:rsidRPr="00337EA1" w:rsidRDefault="0021359D"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Tại </w:t>
      </w:r>
      <w:r w:rsidRPr="00337EA1">
        <w:t>Nghị quyết số 28-NQ/TW ngày 23/5/2018 của Hội nghị lần thứ Bảy, Ban Chấp hành Trung ương khóa XII về cải cách chính sách BHXH</w:t>
      </w:r>
      <w:r>
        <w:t xml:space="preserve">, </w:t>
      </w:r>
      <w:r w:rsidRPr="00337EA1">
        <w:t>Văn kiện Đại hội đại biểu toàn quốc lần thứ XIII của Đảng</w:t>
      </w:r>
      <w:r>
        <w:t xml:space="preserve">, </w:t>
      </w:r>
      <w:r w:rsidRPr="00337EA1">
        <w:t>Nghị quyết số 42-NQ/TW ngày 24/11/2023 của Hội nghị lần thứ Tám, Ban Chấp hành Trung ương Đảng khóa XIII về tiếp tục đổi mới, nâng cao chất lượng chính sách xã hội, đáp ứng yêu cầu sự nghiệp xây dựng và bảo vệ Tổ quốc trong giai đoạn mới</w:t>
      </w:r>
      <w:r>
        <w:t xml:space="preserve"> đều hướng tới mục tiêu </w:t>
      </w:r>
      <w:r w:rsidRPr="0021359D">
        <w:t xml:space="preserve">từng bước mở rộng vững chắc diện bao phủ </w:t>
      </w:r>
      <w:r>
        <w:t>BHXH</w:t>
      </w:r>
      <w:r w:rsidRPr="0021359D">
        <w:t xml:space="preserve">, hướng tới mục tiêu </w:t>
      </w:r>
      <w:r>
        <w:t>BHXH</w:t>
      </w:r>
      <w:r w:rsidRPr="0021359D">
        <w:t xml:space="preserve"> toàn dân</w:t>
      </w:r>
      <w:r w:rsidRPr="00337EA1">
        <w:t xml:space="preserve">, </w:t>
      </w:r>
      <w:r>
        <w:t xml:space="preserve">trong đó </w:t>
      </w:r>
      <w:r w:rsidRPr="00337EA1">
        <w:t>mục tiêu cụ thể</w:t>
      </w:r>
      <w:r>
        <w:t xml:space="preserve"> g</w:t>
      </w:r>
      <w:r w:rsidRPr="00337EA1">
        <w:t>iai đoạn đến năm 2025</w:t>
      </w:r>
      <w:r>
        <w:t xml:space="preserve"> “</w:t>
      </w:r>
      <w:r w:rsidRPr="00337EA1">
        <w:t>Phấn đấu đạt khoảng 45% lực lượng lao động trong độ tuổi BHXH; có khoảng 55% số người sau độ tuổi nghỉ hưu được hưởng lương hưu, BHXH hằng tháng và trợ cấp hưu trí xã hội … Giai đoạn đến năm 2030</w:t>
      </w:r>
      <w:r>
        <w:t>,</w:t>
      </w:r>
      <w:r w:rsidRPr="00337EA1">
        <w:t xml:space="preserve"> </w:t>
      </w:r>
      <w:r>
        <w:t>p</w:t>
      </w:r>
      <w:r w:rsidRPr="00337EA1">
        <w:t xml:space="preserve">hấn đấu đạt khoảng 60% lực lượng lao </w:t>
      </w:r>
      <w:r w:rsidRPr="00337EA1">
        <w:lastRenderedPageBreak/>
        <w:t>động trong độ tuổi tham gia BHXH; khoảng 60% số người sau độ tuổi nghỉ hưu được hưởng lương hưu, BHXH hằng tháng và trợ cấp hưu trí xã hội”. </w:t>
      </w:r>
    </w:p>
    <w:p w:rsidR="0021359D" w:rsidRDefault="0021359D"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Theo khoản 2 Điều 5 Luật BHXH số 58/2014/QH13 quy định: Mức hưởng</w:t>
      </w:r>
      <w:r w:rsidRPr="00337EA1">
        <w:rPr>
          <w:lang w:val="es-ES"/>
        </w:rPr>
        <w:t xml:space="preserve"> </w:t>
      </w:r>
      <w:r w:rsidRPr="00337EA1">
        <w:t>BHXH được tính trên cơ sở mức đóng, thời gian đóng BHXH và có chia sẻ giữa những người tham gia BHXH.</w:t>
      </w:r>
    </w:p>
    <w:p w:rsidR="00CC59AF" w:rsidRPr="00337EA1" w:rsidRDefault="00CC59AF"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Tại </w:t>
      </w:r>
      <w:r w:rsidRPr="00287B9C">
        <w:rPr>
          <w:spacing w:val="4"/>
          <w:lang w:val="de-DE"/>
        </w:rPr>
        <w:t xml:space="preserve">Nghị quyết số 142/2024/QH15 </w:t>
      </w:r>
      <w:r>
        <w:rPr>
          <w:spacing w:val="4"/>
          <w:lang w:val="de-DE"/>
        </w:rPr>
        <w:t xml:space="preserve">ngày 29/6/2024 của </w:t>
      </w:r>
      <w:r w:rsidRPr="00287B9C">
        <w:rPr>
          <w:spacing w:val="4"/>
          <w:lang w:val="de-DE"/>
        </w:rPr>
        <w:t>Quốc hộ</w:t>
      </w:r>
      <w:r>
        <w:rPr>
          <w:spacing w:val="4"/>
          <w:lang w:val="de-DE"/>
        </w:rPr>
        <w:t xml:space="preserve">i </w:t>
      </w:r>
      <w:r w:rsidRPr="00287B9C">
        <w:rPr>
          <w:spacing w:val="4"/>
          <w:lang w:val="de-DE"/>
        </w:rPr>
        <w:t>về Nghị quyết Kỳ họp thứ 7, Quốc hội Khóa XV</w:t>
      </w:r>
      <w:r w:rsidR="002A050E">
        <w:rPr>
          <w:spacing w:val="4"/>
          <w:lang w:val="de-DE"/>
        </w:rPr>
        <w:t xml:space="preserve"> đã </w:t>
      </w:r>
      <w:r w:rsidR="002A050E">
        <w:t>g</w:t>
      </w:r>
      <w:r w:rsidR="002A050E" w:rsidRPr="00115BB5">
        <w:rPr>
          <w:lang w:val="vi-VN"/>
        </w:rPr>
        <w:t xml:space="preserve">iao Chính phủ trình Ủy ban Thường vụ Quốc hội ghi nhận thời gian đóng </w:t>
      </w:r>
      <w:r w:rsidR="002A050E">
        <w:t>BHXH</w:t>
      </w:r>
      <w:r w:rsidR="002A050E" w:rsidRPr="00115BB5">
        <w:rPr>
          <w:lang w:val="vi-VN"/>
        </w:rPr>
        <w:t xml:space="preserve"> bắt buộc của chủ hộ kinh doanh đã tham gia trước ngày Luật </w:t>
      </w:r>
      <w:r w:rsidR="002A050E">
        <w:t>BHXH</w:t>
      </w:r>
      <w:r w:rsidR="002A050E" w:rsidRPr="00115BB5">
        <w:rPr>
          <w:lang w:val="vi-VN"/>
        </w:rPr>
        <w:t xml:space="preserve"> </w:t>
      </w:r>
      <w:r w:rsidR="002A050E" w:rsidRPr="00115BB5">
        <w:rPr>
          <w:bCs/>
          <w:iCs/>
          <w:lang w:val="nl-NL"/>
        </w:rPr>
        <w:t xml:space="preserve">số 41/2024/QH15 </w:t>
      </w:r>
      <w:r w:rsidR="002A050E" w:rsidRPr="00115BB5">
        <w:rPr>
          <w:lang w:val="vi-VN"/>
        </w:rPr>
        <w:t xml:space="preserve">có hiệu lực thi hành để làm căn cứ giải quyết chế độ </w:t>
      </w:r>
      <w:r w:rsidR="002A050E">
        <w:t>BHXH</w:t>
      </w:r>
      <w:r w:rsidR="002A050E" w:rsidRPr="00115BB5">
        <w:rPr>
          <w:lang w:val="vi-VN"/>
        </w:rPr>
        <w:t xml:space="preserve"> theo quy định của pháp luật về </w:t>
      </w:r>
      <w:r w:rsidR="002A050E">
        <w:t>BHXH</w:t>
      </w:r>
      <w:r w:rsidR="002A050E" w:rsidRPr="00115BB5">
        <w:rPr>
          <w:lang w:val="vi-VN"/>
        </w:rPr>
        <w:t xml:space="preserve"> và Nghị quyết số 100/2023/QH15 ngày 24/6/2023 của Quốc hội về hoạt động chất vấn tại Kỳ họp thứ 5, Quốc hội khóa XV.</w:t>
      </w:r>
    </w:p>
    <w:p w:rsidR="0021359D" w:rsidRDefault="0021359D"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rPr>
          <w:lang w:val="af-ZA"/>
        </w:rPr>
        <w:t>Như vậy, việc quy định ghi nhận thời gian đã đóng BHXH bắt buộc</w:t>
      </w:r>
      <w:r w:rsidRPr="00337EA1">
        <w:t xml:space="preserve"> của chủ hộ kinh doanh trước ngày Luật BHXH số 41/2024/QH15 có hiệu lực thi hành để làm căn cứ giải quyết chế độ BHXH theo quy định của pháp luật về BHXH là </w:t>
      </w:r>
      <w:r w:rsidR="002A050E">
        <w:t xml:space="preserve">cần thiết và </w:t>
      </w:r>
      <w:r w:rsidRPr="00337EA1">
        <w:t>có căn cứ; thể hiện sự quan tâm của Đảng, Nhà nước đối với người lao động nói chung và chủ hộ kinh doanh nói riêng, đảm bảo đúng nguyên tắc đóng - hưởng, là cơ sở quan trọng để từng bước</w:t>
      </w:r>
      <w:r w:rsidR="00970942">
        <w:t xml:space="preserve"> thực hiện các mục tiêu mở rộng </w:t>
      </w:r>
      <w:r w:rsidRPr="00337EA1">
        <w:t>diện bao phủ BHXH, hướng tới BHXH toàn dân theo các Nghị quyết của Đảng.</w:t>
      </w:r>
    </w:p>
    <w:p w:rsidR="00970942" w:rsidRPr="00337EA1" w:rsidRDefault="00970942"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Pr>
          <w:b/>
        </w:rPr>
        <w:t>2</w:t>
      </w:r>
      <w:r w:rsidRPr="00337EA1">
        <w:rPr>
          <w:b/>
        </w:rPr>
        <w:t>. Cơ sở thực tiễn</w:t>
      </w:r>
    </w:p>
    <w:p w:rsidR="00970942" w:rsidRPr="00337EA1" w:rsidRDefault="00970942"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Theo quy định tại Nghị định số 12/CP ngày 26/01/1995, Nghị định số 01/2003/NĐ-CP ngày 09/01/2003 của Chính phủ, Luật </w:t>
      </w:r>
      <w:r>
        <w:t>BHXH các năm</w:t>
      </w:r>
      <w:r w:rsidRPr="00337EA1">
        <w:t xml:space="preserve"> 2006 và 2014 thì đều không quy định Chủ hộ kinh doanh thuộc đối tượng tham gia </w:t>
      </w:r>
      <w:r>
        <w:t>BHXH</w:t>
      </w:r>
      <w:r w:rsidRPr="00337EA1">
        <w:t xml:space="preserve"> bắt buộc; từ năm 2008 trở đi, nếu có nhu cầu thì chủ hộ kinh doanh có thể tham gia BHXH tự nguyện.</w:t>
      </w:r>
    </w:p>
    <w:p w:rsidR="00970942" w:rsidRDefault="00970942"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T</w:t>
      </w:r>
      <w:r w:rsidRPr="00337EA1">
        <w:t xml:space="preserve">heo quy định của pháp luật về BHXH thì </w:t>
      </w:r>
      <w:r>
        <w:t>c</w:t>
      </w:r>
      <w:r w:rsidRPr="00337EA1">
        <w:t xml:space="preserve">hủ hộ kinh doanh không thuộc đối tượng tham gia BHXH bắt buộc. Tuy nhiên, </w:t>
      </w:r>
      <w:r>
        <w:t xml:space="preserve">trong giai đoạn năm 2003 đến nay cơ quan BHXH các địa phương đã thực hiện thu BHXH bắt buộc đối với chủ hộ kinh doanh. </w:t>
      </w:r>
      <w:r w:rsidRPr="00337EA1">
        <w:t>Theo thống kê của BHXH Việt Nam thì tính đến hết ngày 31/5/2023 có 3.567 chủ hộ kinh doanh tham gia BHXH bắt buộc; số tiền đã đóng vào Quỹ BHXH khoảng 113 tỷ đồng; có 9.648 lượt chủ hộ kinh doanh</w:t>
      </w:r>
      <w:r>
        <w:t xml:space="preserve"> đã</w:t>
      </w:r>
      <w:r w:rsidRPr="00337EA1">
        <w:t xml:space="preserve"> được giải quyết và chi trả các chế độ ốm đau, thai sản, với số tiền là 13,28 tỷ đồng; có 01 người được giải quyết, chi trả chế độ bảo hiểm tai nạn lao động, bệnh nghề nghiệp, số tiền là 21,55 triệu đồng; có 275 người được giải quyết chế độ hưu trí, tử tuất, số tiền là 32,840 tỷ đồng; có 397 người được giải quyết</w:t>
      </w:r>
      <w:r>
        <w:t xml:space="preserve"> hưởng BHXH một lần, số tiền là </w:t>
      </w:r>
      <w:r w:rsidRPr="00337EA1">
        <w:t>9,328 tỷ đồng.</w:t>
      </w:r>
    </w:p>
    <w:p w:rsidR="00970942" w:rsidRDefault="00970942"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Việc cơ quan BHXH đã thực hiện thu BHXH bắt buộc đối với </w:t>
      </w:r>
      <w:r>
        <w:t>c</w:t>
      </w:r>
      <w:r w:rsidRPr="00337EA1">
        <w:t xml:space="preserve">hủ hộ kinh </w:t>
      </w:r>
      <w:r w:rsidRPr="00337EA1">
        <w:lastRenderedPageBreak/>
        <w:t>doanh là không đúng quy định của pháp luật.</w:t>
      </w:r>
      <w:r>
        <w:t xml:space="preserve"> Về nguyên tắc thì nếu thu </w:t>
      </w:r>
      <w:r w:rsidRPr="00337EA1">
        <w:t>BHXH bắt buộc không đúng</w:t>
      </w:r>
      <w:r>
        <w:t xml:space="preserve"> quy định của pháp luật</w:t>
      </w:r>
      <w:r w:rsidRPr="00337EA1">
        <w:t xml:space="preserve"> </w:t>
      </w:r>
      <w:r>
        <w:t>thì phải hoàn trả tiền đóng BHXH đã thu không đúng. Tuy nhiên, việc hoàn trả tiền đóng BHXH trong trường hợp này có một số bất cập, hạn chế do: (i) Những chủ hộ kinh doanh này đã được cơ quan BHXH thu BHXH bắt buộc trong thời gian dài; (ii) có nhiều người đã được giải quyết hưởng các chế độ BHXH bắt buộc; (iii) hoàn trả tiền đóng BHXH bắt buộc thì đồng thời cũng sẽ phải thu hồi số tiền đã giải quyết các chế độ BHXH là khá phức tạp, không đảm bảo quyền lợi của các chủ hộ, nhiều người đã đến tuổi nghỉ hưu; (iv) không phù hợp với chủ trương của Nghị quyết số 28-</w:t>
      </w:r>
      <w:r w:rsidRPr="00337EA1">
        <w:t>NQ/TW</w:t>
      </w:r>
      <w:r>
        <w:t>, quy định của Luật BHXH số 41/2024/QH15 về mở rộng đối tượng tham gia BHXH bắt buộc đối với chủ hộ kinh doanh. Chính vì vậy, về cơ bản các cơ quan liên quan đều thống nhất với chủ trương giải quyết theo hướng ghi nhận thời gian đã đóng BHXH bắt buộc để tính hưởng BHXH đối với chủ hộ kinh doanh.</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i/>
          <w:sz w:val="26"/>
          <w:szCs w:val="26"/>
        </w:rPr>
      </w:pPr>
      <w:r w:rsidRPr="00337EA1">
        <w:rPr>
          <w:b/>
          <w:sz w:val="26"/>
          <w:szCs w:val="26"/>
        </w:rPr>
        <w:t>II. MỤC TIÊU, QUAN ĐIỂM XÂY DỰNG NGHỊ QUYẾT</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rPr>
          <w:b/>
        </w:rPr>
        <w:t>1. Mục tiêu</w:t>
      </w:r>
      <w:r w:rsidR="002B1E7A" w:rsidRPr="00337EA1">
        <w:rPr>
          <w:b/>
        </w:rPr>
        <w:t xml:space="preserve"> </w:t>
      </w:r>
    </w:p>
    <w:p w:rsidR="00337EA1" w:rsidRPr="00337EA1" w:rsidRDefault="00977EA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Giải quyết hạn chế, vướng mắc trong thực hiện BHXH bắt buộc đối với chủ hộ kinh doanh thời gian qua; tạo cơ sở pháp lý trong việc </w:t>
      </w:r>
      <w:r w:rsidR="00702AFF">
        <w:t xml:space="preserve">thực hiện thu và giải quyết chế độ BHXH bắt buộc đối với chủ hộ kinh doanh trong giai đoạn </w:t>
      </w:r>
      <w:r w:rsidR="00702AFF" w:rsidRPr="00337EA1">
        <w:t>trước ngày Luật BHXH số 41/2024/QH15 có hiệu lực thi hành</w:t>
      </w:r>
      <w:r w:rsidR="00702AFF">
        <w:t xml:space="preserve">; đáp ứng nguyên vọng và đảm bảo quyền lợi cho các chủ hộ kinh doanh và góp phần mở rộng bao phủ </w:t>
      </w:r>
      <w:r w:rsidR="00337EA1" w:rsidRPr="00337EA1">
        <w:t>đối tượng tham gia và đối tượng thụ hưởng BHXH</w:t>
      </w:r>
      <w:r w:rsidR="00702AFF">
        <w:t>.</w:t>
      </w:r>
    </w:p>
    <w:p w:rsidR="002928E9" w:rsidRPr="00337EA1" w:rsidRDefault="002B1E7A"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rPr>
      </w:pPr>
      <w:r w:rsidRPr="00337EA1">
        <w:rPr>
          <w:b/>
        </w:rPr>
        <w:t>2. Quan điểm xây dựng Nghị quyết</w:t>
      </w:r>
    </w:p>
    <w:p w:rsidR="00984FFA" w:rsidRDefault="00984FFA"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 </w:t>
      </w:r>
      <w:r w:rsidR="00702AFF">
        <w:t xml:space="preserve">Tháo gỡ </w:t>
      </w:r>
      <w:r w:rsidR="0026076B">
        <w:t xml:space="preserve">các </w:t>
      </w:r>
      <w:r>
        <w:t xml:space="preserve">vướng mắc, hạn chế bất cập phát sinh trong thực hiện chính sách, chế độ BHXH, đảm bảo quyền lợi trên cơ sở </w:t>
      </w:r>
      <w:r w:rsidR="007505F2">
        <w:t xml:space="preserve">đáp ứng </w:t>
      </w:r>
      <w:r>
        <w:t xml:space="preserve">nguyện vọng của </w:t>
      </w:r>
      <w:r w:rsidR="0026076B">
        <w:t>chủ hộ kinh doanh</w:t>
      </w:r>
      <w:r w:rsidR="007505F2">
        <w:t>.</w:t>
      </w:r>
    </w:p>
    <w:p w:rsidR="007505F2" w:rsidRDefault="007505F2"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 Đảm bảo nguyên tắc đóng – hưởng </w:t>
      </w:r>
      <w:r w:rsidRPr="00337EA1">
        <w:t xml:space="preserve">và thuận lợi trong quá trình tổ chức thực hiện </w:t>
      </w:r>
      <w:r>
        <w:t>chế độ</w:t>
      </w:r>
      <w:r w:rsidRPr="00337EA1">
        <w:t xml:space="preserve"> BHXH.</w:t>
      </w:r>
    </w:p>
    <w:p w:rsidR="007505F2" w:rsidRDefault="00984FFA"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Phù hợp với chủ trương và định hướng</w:t>
      </w:r>
      <w:r w:rsidR="007505F2">
        <w:t xml:space="preserve"> mở rộng bao phủ đối tượng tham gia và thụ hưởng BHXH tại </w:t>
      </w:r>
      <w:r w:rsidR="007505F2" w:rsidRPr="00337EA1">
        <w:t>Nghị quyết số 28-NQ/TW ngày 23/5/2018 của Hội nghị lần thứ Bảy, Ban Chấp hành Trung ương khóa XII về cải cách chính sách BHXH</w:t>
      </w:r>
      <w:r w:rsidR="007505F2">
        <w:t xml:space="preserve"> và các v</w:t>
      </w:r>
      <w:r w:rsidR="007505F2" w:rsidRPr="00337EA1">
        <w:t>ăn kiện</w:t>
      </w:r>
      <w:r w:rsidR="007505F2">
        <w:t>, nghị quyết của Đảng và Nhà nước.</w:t>
      </w:r>
    </w:p>
    <w:p w:rsidR="00B30FAE" w:rsidRDefault="0035281D"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rPr>
      </w:pPr>
      <w:r w:rsidRPr="008B4FA7">
        <w:rPr>
          <w:b/>
        </w:rPr>
        <w:t>III. QUÁ TRÌNH NGHIÊN CỨU, XÂY DỰNG</w:t>
      </w:r>
    </w:p>
    <w:p w:rsidR="00B30FAE" w:rsidRDefault="00456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1. </w:t>
      </w:r>
      <w:r w:rsidR="00B30FAE">
        <w:t xml:space="preserve">Vấn đề này đã được Quốc hội có ý kiến tại </w:t>
      </w:r>
      <w:r w:rsidR="00B30FAE" w:rsidRPr="006C0294">
        <w:t>Nghị quyết số 100/2023/QH15</w:t>
      </w:r>
      <w:r w:rsidR="00B30FAE">
        <w:t xml:space="preserve"> n</w:t>
      </w:r>
      <w:r w:rsidR="00B30FAE" w:rsidRPr="006C0294">
        <w:t>gày 24/6/2023 của Quốc hội về hoạt động chất vấn tại Kỳ họp thứ 5, Quốc hội khóa XV</w:t>
      </w:r>
      <w:r w:rsidR="00B30FAE">
        <w:t xml:space="preserve"> và Chính phủ đã có Nghị quyết số 88/NQ-CP ngày 08/6/2023 về phiên họp Chính phủ thường kỳ tháng 5/2023 trực tuyến với địa phương; theo đó, giao BHXH Việt Nam k</w:t>
      </w:r>
      <w:r w:rsidR="00B30FAE" w:rsidRPr="006705E5">
        <w:t xml:space="preserve">hẩn trương xây dựng báo cáo, cập nhật số liệu và đề xuất </w:t>
      </w:r>
      <w:r w:rsidR="00B30FAE" w:rsidRPr="006705E5">
        <w:lastRenderedPageBreak/>
        <w:t xml:space="preserve">phương án giải quyết dứt điểm đối với tình trạng thu </w:t>
      </w:r>
      <w:r w:rsidR="00B30FAE">
        <w:t>BHXH</w:t>
      </w:r>
      <w:r w:rsidR="00B30FAE" w:rsidRPr="006705E5">
        <w:t xml:space="preserve"> không đúng quy định của pháp luật đối với chủ hộ kinh doanh</w:t>
      </w:r>
      <w:r w:rsidR="00B30FAE">
        <w:t>.</w:t>
      </w:r>
    </w:p>
    <w:p w:rsidR="00456D6B" w:rsidRDefault="00B30FAE"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Trên cơ sở ý kiến của Bộ Tư pháp</w:t>
      </w:r>
      <w:r>
        <w:rPr>
          <w:rStyle w:val="FootnoteReference"/>
        </w:rPr>
        <w:footnoteReference w:id="1"/>
      </w:r>
      <w:r>
        <w:t>, Bộ Tài chính</w:t>
      </w:r>
      <w:r>
        <w:rPr>
          <w:rStyle w:val="FootnoteReference"/>
        </w:rPr>
        <w:footnoteReference w:id="2"/>
      </w:r>
      <w:r>
        <w:t>, Bộ Lao động - Thương binh và Xã hội</w:t>
      </w:r>
      <w:r>
        <w:rPr>
          <w:rStyle w:val="FootnoteReference"/>
        </w:rPr>
        <w:footnoteReference w:id="3"/>
      </w:r>
      <w:r>
        <w:t xml:space="preserve"> và Thanh tra Chính phủ</w:t>
      </w:r>
      <w:r>
        <w:rPr>
          <w:rStyle w:val="FootnoteReference"/>
        </w:rPr>
        <w:footnoteReference w:id="4"/>
      </w:r>
      <w:r>
        <w:t>, BHXH Việt Nam đã có Báo cáo số 203/BC-BHXH</w:t>
      </w:r>
      <w:r w:rsidR="00456D6B">
        <w:t xml:space="preserve"> n</w:t>
      </w:r>
      <w:r w:rsidR="00456D6B" w:rsidRPr="00106B2F">
        <w:t>gày 24/01/2024</w:t>
      </w:r>
      <w:r w:rsidR="00456D6B">
        <w:t xml:space="preserve"> báo cáo Chính phủ về nội dung này.</w:t>
      </w:r>
    </w:p>
    <w:p w:rsidR="00B30FAE" w:rsidRDefault="00456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2. </w:t>
      </w:r>
      <w:r w:rsidR="00B30FAE">
        <w:t>N</w:t>
      </w:r>
      <w:r w:rsidR="00B30FAE" w:rsidRPr="00106B2F">
        <w:t>gày 29/6/2024</w:t>
      </w:r>
      <w:r w:rsidR="00B30FAE">
        <w:t>,</w:t>
      </w:r>
      <w:r w:rsidR="00B30FAE" w:rsidRPr="00106B2F">
        <w:t xml:space="preserve"> Quốc hội </w:t>
      </w:r>
      <w:r w:rsidR="00B30FAE">
        <w:t xml:space="preserve">đã ban hành </w:t>
      </w:r>
      <w:r w:rsidR="00B30FAE" w:rsidRPr="00106B2F">
        <w:t>Nghị quyết số 142/2024/QH15 về Kỳ họp thứ 7, Quốc hội khóa XV</w:t>
      </w:r>
      <w:r w:rsidR="00B30FAE">
        <w:t>, theo đó “</w:t>
      </w:r>
      <w:r w:rsidR="00B30FAE" w:rsidRPr="00106B2F">
        <w:t xml:space="preserve">Giao Chính phủ trình Ủy ban Thường vụ Quốc hội ghi nhận thời gian đóng </w:t>
      </w:r>
      <w:r>
        <w:t>BHXH</w:t>
      </w:r>
      <w:r w:rsidR="00B30FAE" w:rsidRPr="00106B2F">
        <w:t xml:space="preserve"> bắt buộc của chủ hộ kinh doanh đã tham gia trước ngày Luật </w:t>
      </w:r>
      <w:r>
        <w:t>BHXH</w:t>
      </w:r>
      <w:r w:rsidR="00B30FAE" w:rsidRPr="00106B2F">
        <w:t xml:space="preserve"> số 41/2024/QH15 có hiệu lực thi hành để làm căn cứ giải quyết chế độ </w:t>
      </w:r>
      <w:r>
        <w:t>BHXH</w:t>
      </w:r>
      <w:r w:rsidR="00B30FAE" w:rsidRPr="00106B2F">
        <w:t xml:space="preserve"> theo quy định của pháp luật về </w:t>
      </w:r>
      <w:r>
        <w:t>BHXH</w:t>
      </w:r>
      <w:r w:rsidR="00B30FAE" w:rsidRPr="00106B2F">
        <w:t xml:space="preserve"> và Nghị quyết số 100/2023/QH15 ngày 24/6/2023 của Quốc hội về hoạt động chất vấn tại</w:t>
      </w:r>
      <w:r w:rsidR="00B30FAE">
        <w:t xml:space="preserve"> Kỳ họp thứ 5, Quốc hội khóa XV”.</w:t>
      </w:r>
    </w:p>
    <w:p w:rsidR="00456D6B" w:rsidRDefault="00456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3. </w:t>
      </w:r>
      <w:r w:rsidRPr="00456D6B">
        <w:t xml:space="preserve">Ngày </w:t>
      </w:r>
      <w:r>
        <w:t>…..</w:t>
      </w:r>
      <w:r w:rsidRPr="00456D6B">
        <w:t>/</w:t>
      </w:r>
      <w:r>
        <w:t>10</w:t>
      </w:r>
      <w:r w:rsidRPr="00456D6B">
        <w:t>/202</w:t>
      </w:r>
      <w:r>
        <w:t>4</w:t>
      </w:r>
      <w:r w:rsidRPr="00456D6B">
        <w:t>, Bộ Lao động - Thương binh và Xã hội có văn bả</w:t>
      </w:r>
      <w:r>
        <w:t xml:space="preserve">n gửi lấy ý kiến các bộ, ngành </w:t>
      </w:r>
      <w:r w:rsidRPr="00456D6B">
        <w:t xml:space="preserve">về </w:t>
      </w:r>
      <w:r>
        <w:t>dự thảo Nghị quyết</w:t>
      </w:r>
      <w:r w:rsidRPr="00456D6B">
        <w:t>; đồng thời đăng tải trên Cổng thông tin điện tử của Chính phủ và Bộ Lao động - Thương binh và Xã hội để lấy ý kiến rộng rãi các đối tượng chịu tác động.</w:t>
      </w:r>
    </w:p>
    <w:p w:rsidR="00456D6B" w:rsidRPr="00B30FAE" w:rsidRDefault="00456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4. </w:t>
      </w:r>
      <w:r w:rsidRPr="00456D6B">
        <w:t xml:space="preserve">Đã có </w:t>
      </w:r>
      <w:r>
        <w:t>…</w:t>
      </w:r>
      <w:r w:rsidRPr="00456D6B">
        <w:t xml:space="preserve"> văn bả</w:t>
      </w:r>
      <w:r w:rsidR="0079637C">
        <w:t xml:space="preserve">n góp ý từ các </w:t>
      </w:r>
      <w:r>
        <w:t>Bộ, ngành</w:t>
      </w:r>
      <w:r w:rsidR="0079637C">
        <w:t>, địa phương</w:t>
      </w:r>
      <w:r>
        <w:t xml:space="preserve"> đối với dự thảo Nghị quyết</w:t>
      </w:r>
      <w:r w:rsidRPr="00456D6B">
        <w:t xml:space="preserve">. Sau 60 ngày đăng trên Cổng Thông tin điện tử Chính phủ và Cổng Thông tin điện tử Bộ, có </w:t>
      </w:r>
      <w:r>
        <w:t>….</w:t>
      </w:r>
      <w:r w:rsidRPr="00456D6B">
        <w:t xml:space="preserve"> ý kiến góp ý của công dân, tổ chức đối với dự thảo </w:t>
      </w:r>
      <w:r>
        <w:t>Nghị quyết.</w:t>
      </w:r>
    </w:p>
    <w:p w:rsidR="0035281D" w:rsidRDefault="0079637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Bộ Lao động - Thương binh và Xã hội đã phối hợp với BHXH Việt Nam và các cơ quan liên quan tổ chức các Hội nghị lấy ý kiến dự thảo Nghị quyết tại các địa phương như: …………..</w:t>
      </w:r>
    </w:p>
    <w:p w:rsidR="0079637C" w:rsidRDefault="0079637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5. Sau khi tiếp thu, giải trình ý kiến góp ý của các Bộ, ngành, địa phương và hoàn thiện hồ sơ Nghị quyết, ngày …/…/2024, Bộ Lao động - Thương binh và Xã hội có văn bản số …./BLĐTBXH-VBHXH gửi Bộ Tư pháp đề nghị thẩm định hồ sơ Nghị quyết.</w:t>
      </w:r>
    </w:p>
    <w:p w:rsidR="0079637C" w:rsidRDefault="0079637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6. Ngày …./…./2024, Bộ Tư pháp có Báo cáo thẩm định số …./BCTĐ-BTP thẩm định đối với hồ sơ Nghị quyết.</w:t>
      </w:r>
    </w:p>
    <w:p w:rsidR="00F27485" w:rsidRDefault="0079637C" w:rsidP="00922B34">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t xml:space="preserve">7. Ngày 11/7/2023, Bộ Lao động - Thương </w:t>
      </w:r>
      <w:r w:rsidR="00BF66EE">
        <w:t>binh và Xã hội có Tờ trình số …….</w:t>
      </w:r>
      <w:r>
        <w:t xml:space="preserve">/TTr-LĐTBXH trình Chính phủ </w:t>
      </w:r>
      <w:r w:rsidR="00BF66EE">
        <w:t>hồ sơ Nghị quyết</w:t>
      </w:r>
      <w:r>
        <w:t>.</w:t>
      </w:r>
    </w:p>
    <w:p w:rsidR="00F27485" w:rsidRDefault="00F27485" w:rsidP="00922B34">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sz w:val="26"/>
          <w:szCs w:val="26"/>
        </w:rPr>
      </w:pPr>
      <w:r w:rsidRPr="00337EA1">
        <w:rPr>
          <w:b/>
          <w:sz w:val="26"/>
          <w:szCs w:val="26"/>
        </w:rPr>
        <w:lastRenderedPageBreak/>
        <w:t>I</w:t>
      </w:r>
      <w:r w:rsidR="0026076B">
        <w:rPr>
          <w:b/>
          <w:sz w:val="26"/>
          <w:szCs w:val="26"/>
        </w:rPr>
        <w:t>V</w:t>
      </w:r>
      <w:r w:rsidRPr="00337EA1">
        <w:rPr>
          <w:b/>
          <w:sz w:val="26"/>
          <w:szCs w:val="26"/>
        </w:rPr>
        <w:t>. BỐ CỤC VÀ NỘI DUNG CƠ BẢN CỦA NGHỊ QUYẾT</w:t>
      </w:r>
    </w:p>
    <w:p w:rsidR="001A4190" w:rsidRPr="00337EA1" w:rsidRDefault="001A4190"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rPr>
      </w:pPr>
      <w:r w:rsidRPr="00337EA1">
        <w:rPr>
          <w:b/>
        </w:rPr>
        <w:t>1. Bố cục của Nghị quyết</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Nghị quyết được kết cấu gồm 3 Điều như sau:</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Điều 1: Ghi nhận thời gian</w:t>
      </w:r>
      <w:r w:rsidR="0078766C" w:rsidRPr="00337EA1">
        <w:t xml:space="preserve"> đóng BHXH bắt buộc </w:t>
      </w:r>
      <w:r w:rsidR="003478B9" w:rsidRPr="00337EA1">
        <w:t>của chủ hộ kinh doanh</w:t>
      </w:r>
      <w:r w:rsidR="00F90F28" w:rsidRPr="00337EA1">
        <w:t xml:space="preserve"> để làm căn cứ giải quyết chế độ BHXH</w:t>
      </w:r>
      <w:r w:rsidR="003478B9" w:rsidRPr="00337EA1">
        <w:t>.</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Điều 2: Tổ chức thực hiện.</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Điều 3: Hiệu lực thi hành.</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rPr>
      </w:pPr>
      <w:r w:rsidRPr="00337EA1">
        <w:rPr>
          <w:b/>
        </w:rPr>
        <w:t>2. Nội dung cơ bản của Nghị quyết</w:t>
      </w:r>
    </w:p>
    <w:p w:rsidR="002928E9"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Nghị quyết </w:t>
      </w:r>
      <w:r w:rsidR="0026076B">
        <w:t>bao gồm các nội dung cơ bản</w:t>
      </w:r>
      <w:r w:rsidRPr="00337EA1">
        <w:t xml:space="preserve"> như sau:</w:t>
      </w:r>
    </w:p>
    <w:p w:rsidR="00F90F28" w:rsidRPr="00337EA1" w:rsidRDefault="0078766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 </w:t>
      </w:r>
      <w:r w:rsidR="00E4749E" w:rsidRPr="00337EA1">
        <w:t xml:space="preserve">Điều 1 quy định về nguyên tắc ghi nhận thời gian đóng bảo hiểm xã hội của chủ hộ kinh doanh, cụ thể: </w:t>
      </w:r>
    </w:p>
    <w:p w:rsidR="00F90F28" w:rsidRPr="00337EA1" w:rsidRDefault="00F90F28"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(i) Ghi nhận thời gian đã đóng bảo hiểm xã hội bắt buộc trước ngày 01 tháng 7 năm 2025 của chủ hộ kinh doanh để làm căn cứ giải quyết chế độ bảo hiểm xã hội theo quy định của Luật Bảo hiểm xã hội.</w:t>
      </w:r>
    </w:p>
    <w:p w:rsidR="00F90F28" w:rsidRPr="00337EA1" w:rsidRDefault="00F90F28"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(ii)  Chủ hộ kinh doanh đã đủ điều kiện hưởng chế độ bảo hiểm xã hội trước ngày Nghị quyết này ban hành thì </w:t>
      </w:r>
      <w:r w:rsidR="007505F2">
        <w:t xml:space="preserve">được giải quyết </w:t>
      </w:r>
      <w:r w:rsidRPr="00337EA1">
        <w:t xml:space="preserve">hưởng chế độ bảo hiểm xã hội kể từ ngày </w:t>
      </w:r>
      <w:r w:rsidR="007505F2">
        <w:t>đủ điều kiện hưởng chế độ bảo hiểm xã hội theo quy định</w:t>
      </w:r>
      <w:r w:rsidRPr="00337EA1">
        <w:t xml:space="preserve">. </w:t>
      </w:r>
    </w:p>
    <w:p w:rsidR="00F90F28" w:rsidRPr="00337EA1" w:rsidRDefault="00F90F28"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(iii) Chủ hộ kinh doanh </w:t>
      </w:r>
      <w:r w:rsidR="007F40C9">
        <w:t xml:space="preserve">có thời gian đóng bảo hiểm xã hội bắt buộc và </w:t>
      </w:r>
      <w:r w:rsidRPr="00337EA1">
        <w:t xml:space="preserve">đã được cơ quan bảo hiểm xã hội hoàn trả số tiền đã đóng, nếu có nguyện vọng bảo lưu thời gian đã đóng </w:t>
      </w:r>
      <w:r w:rsidR="007F40C9">
        <w:t xml:space="preserve">bảo hiểm xã hội bắt buộc </w:t>
      </w:r>
      <w:r w:rsidRPr="00337EA1">
        <w:t>trước đó</w:t>
      </w:r>
      <w:r w:rsidR="007F40C9">
        <w:t xml:space="preserve"> thì </w:t>
      </w:r>
      <w:r w:rsidRPr="00337EA1">
        <w:t xml:space="preserve">nộp </w:t>
      </w:r>
      <w:r w:rsidR="007F40C9">
        <w:t xml:space="preserve">lại số tiền đã được hoàn trả </w:t>
      </w:r>
      <w:r w:rsidRPr="00337EA1">
        <w:t>vào quỹ bảo hiểm xã hội.</w:t>
      </w:r>
    </w:p>
    <w:p w:rsidR="00F90F28" w:rsidRPr="00337EA1" w:rsidRDefault="00F90F28"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(iv) Trường hợp chủ hộ kinh doanh có yêu cầu hoàn trả tiền đóng bảo hiểm xã hội bắt buộc thì cơ quan bảo hiểm xã hội thực hiện hoàn trả, đồng thời thu hồi số tiền mà chủ hộ kinh doanh đã hưởng các chế độ bảo hiểm xã hội trước đây (nếu có), không tính lãi.</w:t>
      </w:r>
    </w:p>
    <w:p w:rsidR="00337EA1" w:rsidRPr="00337EA1" w:rsidRDefault="0078766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 xml:space="preserve">- </w:t>
      </w:r>
      <w:r w:rsidR="00E4749E" w:rsidRPr="00337EA1">
        <w:t>Điều 2 quy định việc tổ chức thực hiện</w:t>
      </w:r>
      <w:r w:rsidRPr="00337EA1">
        <w:t>, cụ thể như sau:</w:t>
      </w:r>
    </w:p>
    <w:p w:rsidR="00F90F28" w:rsidRPr="00337EA1" w:rsidRDefault="00F90F28"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Giao Chính phủ chỉ đạo:</w:t>
      </w:r>
    </w:p>
    <w:p w:rsidR="00BF66EE" w:rsidRDefault="00BF66EE"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color w:val="000000"/>
        </w:rPr>
      </w:pPr>
      <w:r>
        <w:rPr>
          <w:color w:val="000000"/>
        </w:rPr>
        <w:t xml:space="preserve">(i) </w:t>
      </w:r>
      <w:r w:rsidRPr="00003FF7">
        <w:rPr>
          <w:color w:val="000000"/>
        </w:rPr>
        <w:t>Bảo hiểm xã hội Việt Nam</w:t>
      </w:r>
      <w:r>
        <w:rPr>
          <w:color w:val="000000"/>
        </w:rPr>
        <w:t xml:space="preserve"> c</w:t>
      </w:r>
      <w:r w:rsidRPr="0056776C">
        <w:rPr>
          <w:color w:val="000000"/>
        </w:rPr>
        <w:t>hỉ đạo, hướng dẫn Bảo hiểm xã hội các tỉnh, thành phố</w:t>
      </w:r>
      <w:r>
        <w:rPr>
          <w:color w:val="000000"/>
        </w:rPr>
        <w:t xml:space="preserve"> trực thuộc Trung ương thực hiện ghi nhận thời gian đóng bảo hiểm xã hội bắt buộc và giải quyết các chế độ bảo hiểm xã hội đối với chủ hộ kinh doanh quy định tại Điều 1 Nghị quyết này.</w:t>
      </w:r>
    </w:p>
    <w:p w:rsidR="00BF66EE" w:rsidRDefault="00BF66EE"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color w:val="000000"/>
        </w:rPr>
      </w:pPr>
      <w:r w:rsidRPr="0056776C">
        <w:rPr>
          <w:color w:val="000000"/>
        </w:rPr>
        <w:t>Kịp thời nghiên cứu, xử lý vướng mắc phát sinh trong quá trình thực hiện; tổng hợp báo cáo cấp có thẩm quyền những vấn đề vướng mắc phá</w:t>
      </w:r>
      <w:r>
        <w:rPr>
          <w:color w:val="000000"/>
        </w:rPr>
        <w:t>t sinh vượt</w:t>
      </w:r>
      <w:r w:rsidR="00922B34">
        <w:rPr>
          <w:color w:val="000000"/>
        </w:rPr>
        <w:t xml:space="preserve"> </w:t>
      </w:r>
      <w:r>
        <w:rPr>
          <w:color w:val="000000"/>
        </w:rPr>
        <w:t>thẩm quyền (nếu có).</w:t>
      </w:r>
    </w:p>
    <w:p w:rsidR="00BF66EE" w:rsidRDefault="00BF66EE"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color w:val="000000"/>
        </w:rPr>
      </w:pPr>
      <w:bookmarkStart w:id="0" w:name="_GoBack"/>
      <w:bookmarkEnd w:id="0"/>
      <w:r>
        <w:rPr>
          <w:color w:val="000000"/>
        </w:rPr>
        <w:lastRenderedPageBreak/>
        <w:t xml:space="preserve">(ii) Bộ Lao động - Thương binh và Xã hội phối hợp với Bảo hiểm xã hội Việt Nam và các cơ quan chức năng </w:t>
      </w:r>
      <w:r w:rsidRPr="00003FF7">
        <w:rPr>
          <w:color w:val="000000"/>
        </w:rPr>
        <w:t>tổ chức tuyên truyền, phổ biến</w:t>
      </w:r>
      <w:r>
        <w:rPr>
          <w:color w:val="000000"/>
        </w:rPr>
        <w:t>, kiểm tra, giám sát việc thực hiện quy định tại Nghị quyết này.</w:t>
      </w:r>
    </w:p>
    <w:p w:rsidR="00E4749E" w:rsidRPr="00337EA1" w:rsidRDefault="0078766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6D4DC1">
        <w:t xml:space="preserve">- </w:t>
      </w:r>
      <w:r w:rsidR="00E4749E" w:rsidRPr="006D4DC1">
        <w:t>Điều 3 quy định h</w:t>
      </w:r>
      <w:r w:rsidR="00E4749E" w:rsidRPr="00337EA1">
        <w:t>iệu lực thi hành của Nghị quyết.</w:t>
      </w:r>
    </w:p>
    <w:p w:rsidR="001A4190" w:rsidRPr="00337EA1" w:rsidRDefault="00E4749E"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color w:val="000000"/>
          <w:sz w:val="26"/>
          <w:lang w:val="eu-ES"/>
        </w:rPr>
      </w:pPr>
      <w:r w:rsidRPr="00337EA1">
        <w:rPr>
          <w:b/>
          <w:sz w:val="26"/>
          <w:szCs w:val="26"/>
        </w:rPr>
        <w:t xml:space="preserve">V. </w:t>
      </w:r>
      <w:r w:rsidR="005D2D6B" w:rsidRPr="00337EA1">
        <w:rPr>
          <w:b/>
          <w:color w:val="000000"/>
          <w:sz w:val="26"/>
          <w:lang w:val="eu-ES"/>
        </w:rPr>
        <w:t>DỰ KIẾN NGUỒN LỰC, ĐIỀU KIỆN BẢO ĐẢM CHO VIỆC THI HÀNH LUẬT SAU KHI ĐƯỢC THÔNG QUA</w:t>
      </w:r>
    </w:p>
    <w:p w:rsidR="006F598F" w:rsidRPr="00337EA1" w:rsidRDefault="005D2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color w:val="000000"/>
          <w:lang w:val="eu-ES"/>
        </w:rPr>
      </w:pPr>
      <w:r w:rsidRPr="00337EA1">
        <w:rPr>
          <w:b/>
          <w:color w:val="000000"/>
          <w:lang w:val="eu-ES"/>
        </w:rPr>
        <w:t>1. Về nhân lực</w:t>
      </w:r>
    </w:p>
    <w:p w:rsidR="006F598F" w:rsidRPr="00337EA1" w:rsidRDefault="0078766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color w:val="000000"/>
          <w:lang w:val="eu-ES"/>
        </w:rPr>
      </w:pPr>
      <w:r w:rsidRPr="00337EA1">
        <w:rPr>
          <w:lang w:val="pt-BR"/>
        </w:rPr>
        <w:t xml:space="preserve">Việc </w:t>
      </w:r>
      <w:r w:rsidRPr="00337EA1">
        <w:t xml:space="preserve">ghi nhận thời gian đóng </w:t>
      </w:r>
      <w:r w:rsidR="006C0294">
        <w:t>BHXH</w:t>
      </w:r>
      <w:r w:rsidRPr="00337EA1">
        <w:t xml:space="preserve"> </w:t>
      </w:r>
      <w:r w:rsidR="006D4DC1">
        <w:t xml:space="preserve">và giải quyết chế độ BHXH đối với chủ hộ kinh </w:t>
      </w:r>
      <w:r w:rsidRPr="00337EA1">
        <w:t>doanh</w:t>
      </w:r>
      <w:r w:rsidRPr="00337EA1">
        <w:rPr>
          <w:lang w:val="pt-BR"/>
        </w:rPr>
        <w:t xml:space="preserve"> do cơ quan BHXH tổ chức thực hiện,</w:t>
      </w:r>
      <w:r w:rsidR="005D2D6B" w:rsidRPr="00337EA1">
        <w:rPr>
          <w:lang w:val="pt-BR"/>
        </w:rPr>
        <w:t xml:space="preserve"> về cơ bản không yêu cầu tăng thêm nhân lực để triển khai thực hiện chí</w:t>
      </w:r>
      <w:r w:rsidRPr="00337EA1">
        <w:rPr>
          <w:lang w:val="pt-BR"/>
        </w:rPr>
        <w:t>nh sách sau khi được thông qua.</w:t>
      </w:r>
    </w:p>
    <w:p w:rsidR="001A4190" w:rsidRPr="00337EA1" w:rsidRDefault="005D2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color w:val="000000"/>
          <w:lang w:val="eu-ES"/>
        </w:rPr>
      </w:pPr>
      <w:r w:rsidRPr="00337EA1">
        <w:rPr>
          <w:b/>
          <w:lang w:val="pt-BR"/>
        </w:rPr>
        <w:t>2. Về kinh phí</w:t>
      </w:r>
    </w:p>
    <w:p w:rsidR="0078766C" w:rsidRPr="00337EA1" w:rsidRDefault="005D2D6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
          <w:color w:val="000000"/>
          <w:lang w:val="eu-ES"/>
        </w:rPr>
      </w:pPr>
      <w:r w:rsidRPr="00337EA1">
        <w:rPr>
          <w:color w:val="000000"/>
          <w:lang w:val="eu-ES"/>
        </w:rPr>
        <w:t xml:space="preserve">Kinh phí bảo đảm </w:t>
      </w:r>
      <w:r w:rsidR="0078766C" w:rsidRPr="00337EA1">
        <w:rPr>
          <w:color w:val="000000"/>
          <w:lang w:val="eu-ES"/>
        </w:rPr>
        <w:t>thực hiện</w:t>
      </w:r>
      <w:r w:rsidR="00AA0D68" w:rsidRPr="00337EA1">
        <w:rPr>
          <w:color w:val="000000"/>
          <w:lang w:val="eu-ES"/>
        </w:rPr>
        <w:t xml:space="preserve"> chi trả chế độ BHXH cho chủ hộ kinh doanh từ </w:t>
      </w:r>
      <w:r w:rsidR="008A2C67">
        <w:rPr>
          <w:color w:val="000000"/>
          <w:lang w:val="eu-ES"/>
        </w:rPr>
        <w:t xml:space="preserve">quỹ BHXH do </w:t>
      </w:r>
      <w:r w:rsidR="005D4689">
        <w:rPr>
          <w:color w:val="000000"/>
          <w:lang w:val="eu-ES"/>
        </w:rPr>
        <w:t>người chủ hộ kinh doanh đã đóng</w:t>
      </w:r>
      <w:r w:rsidR="00AA0D68" w:rsidRPr="00337EA1">
        <w:rPr>
          <w:color w:val="000000"/>
          <w:lang w:val="eu-ES"/>
        </w:rPr>
        <w:t>, đảm bảo nguyên tắc đóng – hưởng và không làm phát sinh kinh phí từ các nguồn khác.</w:t>
      </w:r>
    </w:p>
    <w:p w:rsidR="0079717C" w:rsidRPr="00337EA1"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t>Chính phủ</w:t>
      </w:r>
      <w:r w:rsidR="0079717C" w:rsidRPr="00337EA1">
        <w:t xml:space="preserve"> </w:t>
      </w:r>
      <w:r w:rsidRPr="00337EA1">
        <w:t>kính trình</w:t>
      </w:r>
      <w:r w:rsidRPr="00337EA1">
        <w:rPr>
          <w:bCs/>
        </w:rPr>
        <w:t xml:space="preserve"> </w:t>
      </w:r>
      <w:r w:rsidRPr="00337EA1">
        <w:t>Ủy ban Thường vụ Quốc hội./.</w:t>
      </w:r>
    </w:p>
    <w:p w:rsidR="00041919" w:rsidRDefault="0079717C"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pPr>
      <w:r w:rsidRPr="00337EA1">
        <w:rPr>
          <w:i/>
          <w:color w:val="000000" w:themeColor="text1"/>
          <w:kern w:val="28"/>
          <w:lang w:val="eu-ES"/>
        </w:rPr>
        <w:t xml:space="preserve">Hồ sơ kèm theo Tờ trình này gồm: </w:t>
      </w:r>
    </w:p>
    <w:p w:rsidR="002928E9" w:rsidRDefault="002928E9"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Cs/>
          <w:i/>
          <w:color w:val="000000"/>
        </w:rPr>
      </w:pPr>
      <w:r w:rsidRPr="00337EA1">
        <w:rPr>
          <w:i/>
          <w:iCs/>
        </w:rPr>
        <w:t xml:space="preserve">Tài liệu gửi kèm theo: (1) </w:t>
      </w:r>
      <w:r w:rsidR="00485BCE" w:rsidRPr="00337EA1">
        <w:rPr>
          <w:i/>
          <w:iCs/>
        </w:rPr>
        <w:t xml:space="preserve">Tờ trình; (2) Dự thảo Nghị quyết; (3) </w:t>
      </w:r>
      <w:r w:rsidRPr="00337EA1">
        <w:rPr>
          <w:i/>
          <w:iCs/>
        </w:rPr>
        <w:t>Báo cáo đánh giá tác động của chính sách</w:t>
      </w:r>
      <w:r w:rsidR="00485BCE" w:rsidRPr="00337EA1">
        <w:rPr>
          <w:bCs/>
          <w:i/>
          <w:color w:val="000000"/>
        </w:rPr>
        <w:t>; (4) Báo cáo rà soát các văn bản quy phạm pháp luật có liên quan; (5</w:t>
      </w:r>
      <w:r w:rsidR="006F598F" w:rsidRPr="00337EA1">
        <w:rPr>
          <w:bCs/>
          <w:i/>
          <w:color w:val="000000"/>
        </w:rPr>
        <w:t>)</w:t>
      </w:r>
      <w:r w:rsidR="00485BCE" w:rsidRPr="00337EA1">
        <w:rPr>
          <w:bCs/>
          <w:i/>
          <w:color w:val="000000"/>
        </w:rPr>
        <w:t xml:space="preserve"> Báo cáo thẩm định</w:t>
      </w:r>
      <w:r w:rsidR="0026076B">
        <w:rPr>
          <w:bCs/>
          <w:i/>
          <w:color w:val="000000"/>
        </w:rPr>
        <w:t xml:space="preserve"> của Bộ Tư pháp; </w:t>
      </w:r>
      <w:r w:rsidR="0026076B" w:rsidRPr="0026076B">
        <w:rPr>
          <w:bCs/>
          <w:i/>
          <w:color w:val="000000"/>
        </w:rPr>
        <w:t>(</w:t>
      </w:r>
      <w:r w:rsidR="0026076B">
        <w:rPr>
          <w:bCs/>
          <w:i/>
          <w:color w:val="000000"/>
        </w:rPr>
        <w:t>6</w:t>
      </w:r>
      <w:r w:rsidR="0026076B" w:rsidRPr="0026076B">
        <w:rPr>
          <w:bCs/>
          <w:i/>
          <w:color w:val="000000"/>
        </w:rPr>
        <w:t>) Báo cáo tiếp thu, giải trình ý kiến thẩm định của Bộ Tư pháp của Bộ Lao động - Thương binh và Xã hội</w:t>
      </w:r>
      <w:r w:rsidR="002F16BB">
        <w:rPr>
          <w:bCs/>
          <w:i/>
          <w:color w:val="000000"/>
        </w:rPr>
        <w:t xml:space="preserve">; </w:t>
      </w:r>
      <w:r w:rsidR="00485BCE" w:rsidRPr="00337EA1">
        <w:rPr>
          <w:bCs/>
          <w:i/>
          <w:color w:val="000000"/>
        </w:rPr>
        <w:t>(</w:t>
      </w:r>
      <w:r w:rsidR="002F16BB">
        <w:rPr>
          <w:bCs/>
          <w:i/>
          <w:color w:val="000000"/>
        </w:rPr>
        <w:t>7</w:t>
      </w:r>
      <w:r w:rsidR="004B4542">
        <w:rPr>
          <w:bCs/>
          <w:i/>
          <w:color w:val="000000"/>
        </w:rPr>
        <w:t xml:space="preserve">) Báo cáo tổng kết </w:t>
      </w:r>
      <w:r w:rsidR="008F1DC4">
        <w:rPr>
          <w:bCs/>
          <w:i/>
          <w:color w:val="000000"/>
        </w:rPr>
        <w:t>việc đóng BHXH bắt buộc của chủ hộ kinh doanh</w:t>
      </w:r>
      <w:r w:rsidR="004B4542">
        <w:rPr>
          <w:bCs/>
          <w:i/>
          <w:color w:val="000000"/>
        </w:rPr>
        <w:t>; (8)</w:t>
      </w:r>
      <w:r w:rsidR="00485BCE" w:rsidRPr="00337EA1">
        <w:rPr>
          <w:bCs/>
          <w:i/>
          <w:color w:val="000000"/>
        </w:rPr>
        <w:t xml:space="preserve"> Bảng tổng hợp giải trình, tiếp thu ý kiến góp </w:t>
      </w:r>
      <w:r w:rsidR="0078766C" w:rsidRPr="00337EA1">
        <w:rPr>
          <w:bCs/>
          <w:i/>
          <w:color w:val="000000"/>
        </w:rPr>
        <w:t>ý</w:t>
      </w:r>
      <w:r w:rsidR="002F16BB">
        <w:rPr>
          <w:bCs/>
          <w:i/>
          <w:color w:val="000000"/>
        </w:rPr>
        <w:t>; (</w:t>
      </w:r>
      <w:r w:rsidR="004B4542">
        <w:rPr>
          <w:bCs/>
          <w:i/>
          <w:color w:val="000000"/>
        </w:rPr>
        <w:t>9</w:t>
      </w:r>
      <w:r w:rsidR="002F16BB">
        <w:rPr>
          <w:bCs/>
          <w:i/>
          <w:color w:val="000000"/>
        </w:rPr>
        <w:t>) Bản chụp ý kiến góp ý.</w:t>
      </w:r>
    </w:p>
    <w:p w:rsidR="002F16BB" w:rsidRPr="002F16BB" w:rsidRDefault="002F16B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Cs/>
          <w:i/>
          <w:color w:val="000000"/>
          <w:sz w:val="10"/>
        </w:rPr>
      </w:pPr>
    </w:p>
    <w:tbl>
      <w:tblPr>
        <w:tblW w:w="9214" w:type="dxa"/>
        <w:tblLayout w:type="fixed"/>
        <w:tblLook w:val="0000" w:firstRow="0" w:lastRow="0" w:firstColumn="0" w:lastColumn="0" w:noHBand="0" w:noVBand="0"/>
      </w:tblPr>
      <w:tblGrid>
        <w:gridCol w:w="4536"/>
        <w:gridCol w:w="4678"/>
      </w:tblGrid>
      <w:tr w:rsidR="0079717C" w:rsidRPr="0079717C" w:rsidTr="002F16BB">
        <w:trPr>
          <w:trHeight w:val="1594"/>
        </w:trPr>
        <w:tc>
          <w:tcPr>
            <w:tcW w:w="4536" w:type="dxa"/>
          </w:tcPr>
          <w:p w:rsidR="0079717C" w:rsidRPr="0079717C" w:rsidRDefault="0079717C" w:rsidP="0079717C">
            <w:pPr>
              <w:ind w:left="-108"/>
              <w:rPr>
                <w:b/>
                <w:i/>
                <w:color w:val="000000" w:themeColor="text1"/>
                <w:lang w:val="eu-ES"/>
              </w:rPr>
            </w:pPr>
            <w:r w:rsidRPr="0079717C">
              <w:rPr>
                <w:b/>
                <w:i/>
                <w:color w:val="000000" w:themeColor="text1"/>
                <w:sz w:val="24"/>
                <w:lang w:val="eu-ES"/>
              </w:rPr>
              <w:t>Nơi nhận:</w:t>
            </w:r>
          </w:p>
          <w:p w:rsidR="0079717C" w:rsidRPr="0079717C" w:rsidRDefault="0079717C" w:rsidP="0079717C">
            <w:pPr>
              <w:ind w:left="-108"/>
              <w:rPr>
                <w:color w:val="000000" w:themeColor="text1"/>
                <w:sz w:val="22"/>
                <w:lang w:val="eu-ES"/>
              </w:rPr>
            </w:pPr>
            <w:r w:rsidRPr="0079717C">
              <w:rPr>
                <w:color w:val="000000" w:themeColor="text1"/>
                <w:sz w:val="22"/>
                <w:lang w:val="eu-ES"/>
              </w:rPr>
              <w:t>- Như trên;</w:t>
            </w:r>
          </w:p>
          <w:p w:rsidR="0079717C" w:rsidRPr="0079717C" w:rsidRDefault="0079717C" w:rsidP="0079717C">
            <w:pPr>
              <w:ind w:left="-108"/>
              <w:rPr>
                <w:color w:val="000000" w:themeColor="text1"/>
                <w:sz w:val="22"/>
                <w:lang w:val="eu-ES"/>
              </w:rPr>
            </w:pPr>
            <w:r w:rsidRPr="0079717C">
              <w:rPr>
                <w:color w:val="000000" w:themeColor="text1"/>
                <w:sz w:val="22"/>
                <w:lang w:val="eu-ES"/>
              </w:rPr>
              <w:t>- Thủ tướng Chính phủ (để báo cáo);</w:t>
            </w:r>
          </w:p>
          <w:p w:rsidR="0079717C" w:rsidRPr="0079717C" w:rsidRDefault="0079717C" w:rsidP="0079717C">
            <w:pPr>
              <w:ind w:left="-108"/>
              <w:rPr>
                <w:color w:val="000000" w:themeColor="text1"/>
                <w:sz w:val="22"/>
                <w:lang w:val="eu-ES"/>
              </w:rPr>
            </w:pPr>
            <w:r w:rsidRPr="0079717C">
              <w:rPr>
                <w:color w:val="000000" w:themeColor="text1"/>
                <w:sz w:val="22"/>
                <w:lang w:val="eu-ES"/>
              </w:rPr>
              <w:t>- Các Phó Thủ tướng Chính phủ (để báo cáo);</w:t>
            </w:r>
          </w:p>
          <w:p w:rsidR="0079717C" w:rsidRPr="0079717C" w:rsidRDefault="0079717C" w:rsidP="0079717C">
            <w:pPr>
              <w:ind w:left="-108"/>
              <w:rPr>
                <w:color w:val="000000" w:themeColor="text1"/>
                <w:sz w:val="22"/>
                <w:lang w:val="eu-ES"/>
              </w:rPr>
            </w:pPr>
            <w:r w:rsidRPr="0079717C">
              <w:rPr>
                <w:color w:val="000000" w:themeColor="text1"/>
                <w:sz w:val="22"/>
                <w:lang w:val="eu-ES"/>
              </w:rPr>
              <w:t>- Văn phòng Trung ương Đảng;</w:t>
            </w:r>
          </w:p>
          <w:p w:rsidR="0079717C" w:rsidRPr="0079717C" w:rsidRDefault="0079717C" w:rsidP="0079717C">
            <w:pPr>
              <w:ind w:left="-108"/>
              <w:rPr>
                <w:color w:val="000000" w:themeColor="text1"/>
                <w:sz w:val="22"/>
                <w:lang w:val="eu-ES"/>
              </w:rPr>
            </w:pPr>
            <w:r w:rsidRPr="0079717C">
              <w:rPr>
                <w:color w:val="000000" w:themeColor="text1"/>
                <w:sz w:val="22"/>
                <w:lang w:val="eu-ES"/>
              </w:rPr>
              <w:t>- Văn phòng Chủ tịch nước;</w:t>
            </w:r>
          </w:p>
          <w:p w:rsidR="0079717C" w:rsidRPr="0079717C" w:rsidRDefault="0079717C" w:rsidP="0079717C">
            <w:pPr>
              <w:ind w:left="-108"/>
              <w:rPr>
                <w:color w:val="000000" w:themeColor="text1"/>
                <w:sz w:val="22"/>
                <w:lang w:val="eu-ES"/>
              </w:rPr>
            </w:pPr>
            <w:r w:rsidRPr="0079717C">
              <w:rPr>
                <w:color w:val="000000" w:themeColor="text1"/>
                <w:sz w:val="22"/>
                <w:lang w:val="eu-ES"/>
              </w:rPr>
              <w:t>- Văn phòng Quốc hội;</w:t>
            </w:r>
          </w:p>
          <w:p w:rsidR="0079717C" w:rsidRPr="0079717C" w:rsidRDefault="0079717C" w:rsidP="0079717C">
            <w:pPr>
              <w:ind w:left="-108"/>
              <w:rPr>
                <w:color w:val="000000" w:themeColor="text1"/>
                <w:sz w:val="22"/>
                <w:lang w:val="eu-ES"/>
              </w:rPr>
            </w:pPr>
            <w:r w:rsidRPr="0079717C">
              <w:rPr>
                <w:color w:val="000000" w:themeColor="text1"/>
                <w:sz w:val="22"/>
                <w:lang w:val="eu-ES"/>
              </w:rPr>
              <w:t>- Ủy ban Pháp luật của Quốc hội;</w:t>
            </w:r>
          </w:p>
          <w:p w:rsidR="0079717C" w:rsidRPr="0079717C" w:rsidRDefault="0079717C" w:rsidP="0079717C">
            <w:pPr>
              <w:ind w:left="-108"/>
              <w:rPr>
                <w:color w:val="000000" w:themeColor="text1"/>
                <w:sz w:val="22"/>
                <w:lang w:val="eu-ES"/>
              </w:rPr>
            </w:pPr>
            <w:r w:rsidRPr="0079717C">
              <w:rPr>
                <w:color w:val="000000" w:themeColor="text1"/>
                <w:sz w:val="22"/>
                <w:lang w:val="eu-ES"/>
              </w:rPr>
              <w:t>- Ủy ban Xã hội của Quốc hội;</w:t>
            </w:r>
          </w:p>
          <w:p w:rsidR="0079717C" w:rsidRPr="0079717C" w:rsidRDefault="0079717C" w:rsidP="0079717C">
            <w:pPr>
              <w:ind w:left="-108"/>
              <w:rPr>
                <w:color w:val="000000" w:themeColor="text1"/>
                <w:sz w:val="22"/>
                <w:lang w:val="eu-ES"/>
              </w:rPr>
            </w:pPr>
            <w:r w:rsidRPr="0079717C">
              <w:rPr>
                <w:color w:val="000000" w:themeColor="text1"/>
                <w:sz w:val="22"/>
                <w:lang w:val="eu-ES"/>
              </w:rPr>
              <w:t>- Các bộ, cơ quan ngang bộ;</w:t>
            </w:r>
          </w:p>
          <w:p w:rsidR="0079717C" w:rsidRPr="0079717C" w:rsidRDefault="0079717C" w:rsidP="0079717C">
            <w:pPr>
              <w:ind w:left="-108"/>
              <w:rPr>
                <w:color w:val="000000" w:themeColor="text1"/>
                <w:sz w:val="22"/>
                <w:lang w:val="eu-ES"/>
              </w:rPr>
            </w:pPr>
            <w:r w:rsidRPr="0079717C">
              <w:rPr>
                <w:color w:val="000000" w:themeColor="text1"/>
                <w:sz w:val="22"/>
                <w:lang w:val="eu-ES"/>
              </w:rPr>
              <w:t>- VPCP: BTCN, các PCN,</w:t>
            </w:r>
          </w:p>
          <w:p w:rsidR="0079717C" w:rsidRPr="0079717C" w:rsidRDefault="0079717C" w:rsidP="0079717C">
            <w:pPr>
              <w:ind w:left="-108"/>
              <w:rPr>
                <w:color w:val="000000" w:themeColor="text1"/>
                <w:sz w:val="22"/>
                <w:lang w:val="eu-ES"/>
              </w:rPr>
            </w:pPr>
            <w:r w:rsidRPr="0079717C">
              <w:rPr>
                <w:color w:val="000000" w:themeColor="text1"/>
                <w:sz w:val="22"/>
                <w:lang w:val="eu-ES"/>
              </w:rPr>
              <w:t xml:space="preserve">  Vụ TH;</w:t>
            </w:r>
          </w:p>
          <w:p w:rsidR="0079717C" w:rsidRPr="0079717C" w:rsidRDefault="0079717C" w:rsidP="0079717C">
            <w:pPr>
              <w:ind w:left="-108"/>
              <w:rPr>
                <w:color w:val="000000" w:themeColor="text1"/>
                <w:sz w:val="22"/>
                <w:lang w:val="eu-ES"/>
              </w:rPr>
            </w:pPr>
            <w:r w:rsidRPr="0079717C">
              <w:rPr>
                <w:color w:val="000000" w:themeColor="text1"/>
                <w:sz w:val="22"/>
                <w:lang w:val="eu-ES"/>
              </w:rPr>
              <w:t>- Lưu: VT, PL (2).</w:t>
            </w:r>
          </w:p>
          <w:p w:rsidR="0079717C" w:rsidRPr="0079717C" w:rsidRDefault="0079717C" w:rsidP="0079717C">
            <w:pPr>
              <w:rPr>
                <w:color w:val="000000" w:themeColor="text1"/>
                <w:lang w:val="eu-ES"/>
              </w:rPr>
            </w:pPr>
          </w:p>
        </w:tc>
        <w:tc>
          <w:tcPr>
            <w:tcW w:w="4678" w:type="dxa"/>
          </w:tcPr>
          <w:p w:rsidR="0079717C" w:rsidRPr="0079717C" w:rsidRDefault="0079717C" w:rsidP="0079717C">
            <w:pPr>
              <w:jc w:val="center"/>
              <w:rPr>
                <w:b/>
                <w:color w:val="000000" w:themeColor="text1"/>
                <w:lang w:val="eu-ES"/>
              </w:rPr>
            </w:pPr>
            <w:r w:rsidRPr="0079717C">
              <w:rPr>
                <w:b/>
                <w:color w:val="000000" w:themeColor="text1"/>
                <w:lang w:val="eu-ES"/>
              </w:rPr>
              <w:t>TM. CHÍNH PHỦ</w:t>
            </w:r>
          </w:p>
          <w:p w:rsidR="0079717C" w:rsidRPr="0079717C" w:rsidRDefault="0079717C" w:rsidP="0079717C">
            <w:pPr>
              <w:jc w:val="center"/>
              <w:rPr>
                <w:b/>
                <w:color w:val="000000" w:themeColor="text1"/>
                <w:lang w:val="eu-ES"/>
              </w:rPr>
            </w:pPr>
            <w:r w:rsidRPr="0079717C">
              <w:rPr>
                <w:b/>
                <w:color w:val="000000" w:themeColor="text1"/>
                <w:lang w:val="eu-ES"/>
              </w:rPr>
              <w:t>TUQ. THỦ TƯỚNG</w:t>
            </w:r>
          </w:p>
          <w:p w:rsidR="0079717C" w:rsidRPr="0079717C" w:rsidRDefault="0079717C" w:rsidP="0079717C">
            <w:pPr>
              <w:jc w:val="center"/>
              <w:rPr>
                <w:b/>
                <w:color w:val="000000" w:themeColor="text1"/>
                <w:lang w:val="eu-ES"/>
              </w:rPr>
            </w:pPr>
            <w:r w:rsidRPr="0079717C">
              <w:rPr>
                <w:b/>
                <w:color w:val="000000" w:themeColor="text1"/>
                <w:lang w:val="eu-ES"/>
              </w:rPr>
              <w:t>BỘ TRƯỞNG BỘ LAO ĐỘNG - THƯƠNG BINH VÀ XÃ HỘI</w:t>
            </w:r>
          </w:p>
          <w:p w:rsidR="0079717C" w:rsidRPr="0079717C" w:rsidRDefault="0079717C" w:rsidP="0079717C">
            <w:pPr>
              <w:jc w:val="center"/>
              <w:rPr>
                <w:color w:val="000000" w:themeColor="text1"/>
                <w:lang w:val="eu-ES"/>
              </w:rPr>
            </w:pPr>
          </w:p>
          <w:p w:rsidR="0079717C" w:rsidRPr="0079717C" w:rsidRDefault="0079717C" w:rsidP="0079717C">
            <w:pPr>
              <w:jc w:val="center"/>
              <w:rPr>
                <w:color w:val="000000" w:themeColor="text1"/>
                <w:lang w:val="eu-ES"/>
              </w:rPr>
            </w:pPr>
          </w:p>
          <w:p w:rsidR="0079717C" w:rsidRPr="0079717C" w:rsidRDefault="0079717C" w:rsidP="0079717C">
            <w:pPr>
              <w:jc w:val="both"/>
              <w:rPr>
                <w:color w:val="000000" w:themeColor="text1"/>
                <w:lang w:val="eu-ES"/>
              </w:rPr>
            </w:pPr>
          </w:p>
          <w:p w:rsidR="0079717C" w:rsidRPr="0079717C" w:rsidRDefault="0079717C" w:rsidP="0079717C">
            <w:pPr>
              <w:jc w:val="center"/>
              <w:rPr>
                <w:color w:val="000000" w:themeColor="text1"/>
                <w:lang w:val="eu-ES"/>
              </w:rPr>
            </w:pPr>
          </w:p>
          <w:p w:rsidR="0079717C" w:rsidRPr="0079717C" w:rsidRDefault="0079717C" w:rsidP="0079717C">
            <w:pPr>
              <w:jc w:val="center"/>
              <w:rPr>
                <w:color w:val="000000" w:themeColor="text1"/>
                <w:lang w:val="eu-ES"/>
              </w:rPr>
            </w:pPr>
          </w:p>
          <w:p w:rsidR="0079717C" w:rsidRPr="0079717C" w:rsidRDefault="0079717C" w:rsidP="0079717C">
            <w:pPr>
              <w:jc w:val="center"/>
              <w:rPr>
                <w:color w:val="000000" w:themeColor="text1"/>
                <w:lang w:val="eu-ES"/>
              </w:rPr>
            </w:pPr>
          </w:p>
          <w:p w:rsidR="0079717C" w:rsidRPr="0079717C" w:rsidRDefault="0079717C" w:rsidP="0079717C">
            <w:pPr>
              <w:jc w:val="center"/>
              <w:rPr>
                <w:color w:val="000000" w:themeColor="text1"/>
                <w:lang w:val="eu-ES"/>
              </w:rPr>
            </w:pPr>
          </w:p>
          <w:p w:rsidR="0079717C" w:rsidRPr="0079717C" w:rsidRDefault="0079717C" w:rsidP="0079717C">
            <w:pPr>
              <w:jc w:val="center"/>
              <w:rPr>
                <w:color w:val="000000" w:themeColor="text1"/>
                <w:lang w:val="eu-ES"/>
              </w:rPr>
            </w:pPr>
            <w:r w:rsidRPr="0079717C">
              <w:rPr>
                <w:b/>
                <w:color w:val="000000" w:themeColor="text1"/>
                <w:lang w:val="eu-ES"/>
              </w:rPr>
              <w:t>Đào Ngọc Dung</w:t>
            </w:r>
          </w:p>
        </w:tc>
      </w:tr>
    </w:tbl>
    <w:p w:rsidR="002928E9" w:rsidRPr="00E61D96" w:rsidRDefault="002928E9" w:rsidP="002928E9">
      <w:pPr>
        <w:spacing w:before="120" w:after="120" w:line="247" w:lineRule="auto"/>
        <w:ind w:firstLine="720"/>
        <w:jc w:val="both"/>
      </w:pPr>
    </w:p>
    <w:p w:rsidR="0011034B" w:rsidRDefault="0011034B"/>
    <w:sectPr w:rsidR="0011034B" w:rsidSect="00F27485">
      <w:headerReference w:type="default" r:id="rId7"/>
      <w:footerReference w:type="even" r:id="rId8"/>
      <w:pgSz w:w="11907" w:h="16840" w:code="9"/>
      <w:pgMar w:top="1134" w:right="1134" w:bottom="851"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A4E" w:rsidRDefault="00030A4E" w:rsidP="002928E9">
      <w:r>
        <w:separator/>
      </w:r>
    </w:p>
  </w:endnote>
  <w:endnote w:type="continuationSeparator" w:id="0">
    <w:p w:rsidR="00030A4E" w:rsidRDefault="00030A4E" w:rsidP="0029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FFA" w:rsidRDefault="00984FFA" w:rsidP="00E474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4FFA" w:rsidRDefault="00984F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A4E" w:rsidRDefault="00030A4E" w:rsidP="002928E9">
      <w:r>
        <w:separator/>
      </w:r>
    </w:p>
  </w:footnote>
  <w:footnote w:type="continuationSeparator" w:id="0">
    <w:p w:rsidR="00030A4E" w:rsidRDefault="00030A4E" w:rsidP="002928E9">
      <w:r>
        <w:continuationSeparator/>
      </w:r>
    </w:p>
  </w:footnote>
  <w:footnote w:id="1">
    <w:p w:rsidR="00B30FAE" w:rsidRDefault="00B30FAE" w:rsidP="00B30FAE">
      <w:pPr>
        <w:pStyle w:val="FootnoteText"/>
      </w:pPr>
      <w:r>
        <w:rPr>
          <w:rStyle w:val="FootnoteReference"/>
        </w:rPr>
        <w:footnoteRef/>
      </w:r>
      <w:r>
        <w:t xml:space="preserve"> Công văn số 5044/BTP-PLDSKT ngày 20/10/2023.</w:t>
      </w:r>
    </w:p>
  </w:footnote>
  <w:footnote w:id="2">
    <w:p w:rsidR="00B30FAE" w:rsidRDefault="00B30FAE" w:rsidP="00B30FAE">
      <w:pPr>
        <w:pStyle w:val="FootnoteText"/>
      </w:pPr>
      <w:r>
        <w:rPr>
          <w:rStyle w:val="FootnoteReference"/>
        </w:rPr>
        <w:footnoteRef/>
      </w:r>
      <w:r>
        <w:t xml:space="preserve"> Công văn số 11492/BTC-HCSN ngày 20/10/2023.</w:t>
      </w:r>
    </w:p>
  </w:footnote>
  <w:footnote w:id="3">
    <w:p w:rsidR="00B30FAE" w:rsidRDefault="00B30FAE" w:rsidP="00B30FAE">
      <w:pPr>
        <w:pStyle w:val="FootnoteText"/>
      </w:pPr>
      <w:r>
        <w:rPr>
          <w:rStyle w:val="FootnoteReference"/>
        </w:rPr>
        <w:footnoteRef/>
      </w:r>
      <w:r>
        <w:t xml:space="preserve"> Công văn số 4567/LĐTBXH-BHXH ngày 26/10/2023.</w:t>
      </w:r>
    </w:p>
  </w:footnote>
  <w:footnote w:id="4">
    <w:p w:rsidR="00B30FAE" w:rsidRDefault="00B30FAE" w:rsidP="00B30FAE">
      <w:pPr>
        <w:pStyle w:val="FootnoteText"/>
      </w:pPr>
      <w:r>
        <w:rPr>
          <w:rStyle w:val="FootnoteReference"/>
        </w:rPr>
        <w:footnoteRef/>
      </w:r>
      <w:r>
        <w:t xml:space="preserve"> Công văn số 46/TTCP-V.III ngày 10/01/2024.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FFA" w:rsidRDefault="00984FFA">
    <w:pPr>
      <w:pStyle w:val="Header"/>
      <w:jc w:val="center"/>
    </w:pPr>
    <w:r>
      <w:fldChar w:fldCharType="begin"/>
    </w:r>
    <w:r>
      <w:instrText xml:space="preserve"> PAGE   \* MERGEFORMAT </w:instrText>
    </w:r>
    <w:r>
      <w:fldChar w:fldCharType="separate"/>
    </w:r>
    <w:r w:rsidR="00A627E6">
      <w:rPr>
        <w:noProof/>
      </w:rPr>
      <w:t>6</w:t>
    </w:r>
    <w:r>
      <w:rPr>
        <w:noProof/>
      </w:rPr>
      <w:fldChar w:fldCharType="end"/>
    </w:r>
  </w:p>
  <w:p w:rsidR="00984FFA" w:rsidRDefault="00984F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4C"/>
    <w:rsid w:val="000047AE"/>
    <w:rsid w:val="00030A4E"/>
    <w:rsid w:val="00041919"/>
    <w:rsid w:val="00055658"/>
    <w:rsid w:val="000906A5"/>
    <w:rsid w:val="000B7E43"/>
    <w:rsid w:val="00106479"/>
    <w:rsid w:val="0011034B"/>
    <w:rsid w:val="00150599"/>
    <w:rsid w:val="001A4190"/>
    <w:rsid w:val="001D10B2"/>
    <w:rsid w:val="0021359D"/>
    <w:rsid w:val="0026076B"/>
    <w:rsid w:val="002928E9"/>
    <w:rsid w:val="002A050E"/>
    <w:rsid w:val="002B1E7A"/>
    <w:rsid w:val="002F16BB"/>
    <w:rsid w:val="0031574A"/>
    <w:rsid w:val="00337EA1"/>
    <w:rsid w:val="003478B9"/>
    <w:rsid w:val="0035281D"/>
    <w:rsid w:val="00364995"/>
    <w:rsid w:val="00373E92"/>
    <w:rsid w:val="00415440"/>
    <w:rsid w:val="0044539E"/>
    <w:rsid w:val="00456D6B"/>
    <w:rsid w:val="00485BCE"/>
    <w:rsid w:val="004B4542"/>
    <w:rsid w:val="005D2D6B"/>
    <w:rsid w:val="005D4564"/>
    <w:rsid w:val="005D4689"/>
    <w:rsid w:val="006323A2"/>
    <w:rsid w:val="00645FDA"/>
    <w:rsid w:val="006705E5"/>
    <w:rsid w:val="006812C0"/>
    <w:rsid w:val="006A2F3F"/>
    <w:rsid w:val="006C0294"/>
    <w:rsid w:val="006C6B1A"/>
    <w:rsid w:val="006D4DC1"/>
    <w:rsid w:val="006F598F"/>
    <w:rsid w:val="00702AFF"/>
    <w:rsid w:val="007505F2"/>
    <w:rsid w:val="00761477"/>
    <w:rsid w:val="00766925"/>
    <w:rsid w:val="00773E9F"/>
    <w:rsid w:val="0078766C"/>
    <w:rsid w:val="0079637C"/>
    <w:rsid w:val="0079717C"/>
    <w:rsid w:val="007A50A0"/>
    <w:rsid w:val="007A7D72"/>
    <w:rsid w:val="007C32BA"/>
    <w:rsid w:val="007E5A4A"/>
    <w:rsid w:val="007F40C9"/>
    <w:rsid w:val="007F7297"/>
    <w:rsid w:val="00800DA7"/>
    <w:rsid w:val="00876AE5"/>
    <w:rsid w:val="008A2C67"/>
    <w:rsid w:val="008B4FA7"/>
    <w:rsid w:val="008F1DC4"/>
    <w:rsid w:val="00922B34"/>
    <w:rsid w:val="00970942"/>
    <w:rsid w:val="009760DB"/>
    <w:rsid w:val="00977E20"/>
    <w:rsid w:val="00977EA9"/>
    <w:rsid w:val="00984FFA"/>
    <w:rsid w:val="00993010"/>
    <w:rsid w:val="009E6FEA"/>
    <w:rsid w:val="00A4485B"/>
    <w:rsid w:val="00A627E6"/>
    <w:rsid w:val="00AA0D68"/>
    <w:rsid w:val="00AB25E0"/>
    <w:rsid w:val="00B1275F"/>
    <w:rsid w:val="00B30FAE"/>
    <w:rsid w:val="00B43E69"/>
    <w:rsid w:val="00B84AFA"/>
    <w:rsid w:val="00B87264"/>
    <w:rsid w:val="00BF66EE"/>
    <w:rsid w:val="00C3033E"/>
    <w:rsid w:val="00C55B70"/>
    <w:rsid w:val="00CC59AF"/>
    <w:rsid w:val="00CD0CB9"/>
    <w:rsid w:val="00D40C85"/>
    <w:rsid w:val="00D5035F"/>
    <w:rsid w:val="00E4749E"/>
    <w:rsid w:val="00E53D4C"/>
    <w:rsid w:val="00EA2674"/>
    <w:rsid w:val="00F25F81"/>
    <w:rsid w:val="00F27485"/>
    <w:rsid w:val="00F90F28"/>
    <w:rsid w:val="00FE7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5954C35"/>
  <w15:chartTrackingRefBased/>
  <w15:docId w15:val="{30076E4B-4667-4A17-8324-83060A3DD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E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28E9"/>
    <w:pPr>
      <w:tabs>
        <w:tab w:val="center" w:pos="4680"/>
        <w:tab w:val="right" w:pos="9360"/>
      </w:tabs>
    </w:pPr>
  </w:style>
  <w:style w:type="character" w:customStyle="1" w:styleId="HeaderChar">
    <w:name w:val="Header Char"/>
    <w:basedOn w:val="DefaultParagraphFont"/>
    <w:link w:val="Header"/>
    <w:uiPriority w:val="99"/>
    <w:rsid w:val="002928E9"/>
    <w:rPr>
      <w:rFonts w:eastAsia="Times New Roman" w:cs="Times New Roman"/>
      <w:szCs w:val="28"/>
    </w:rPr>
  </w:style>
  <w:style w:type="paragraph" w:styleId="Footer">
    <w:name w:val="footer"/>
    <w:basedOn w:val="Normal"/>
    <w:link w:val="FooterChar"/>
    <w:uiPriority w:val="99"/>
    <w:unhideWhenUsed/>
    <w:rsid w:val="002928E9"/>
    <w:pPr>
      <w:tabs>
        <w:tab w:val="center" w:pos="4680"/>
        <w:tab w:val="right" w:pos="9360"/>
      </w:tabs>
    </w:pPr>
  </w:style>
  <w:style w:type="character" w:customStyle="1" w:styleId="FooterChar">
    <w:name w:val="Footer Char"/>
    <w:basedOn w:val="DefaultParagraphFont"/>
    <w:link w:val="Footer"/>
    <w:uiPriority w:val="99"/>
    <w:rsid w:val="002928E9"/>
    <w:rPr>
      <w:rFonts w:eastAsia="Times New Roman" w:cs="Times New Roman"/>
      <w:szCs w:val="28"/>
    </w:rPr>
  </w:style>
  <w:style w:type="character" w:styleId="PageNumber">
    <w:name w:val="page number"/>
    <w:basedOn w:val="DefaultParagraphFont"/>
    <w:rsid w:val="002928E9"/>
  </w:style>
  <w:style w:type="paragraph" w:styleId="FootnoteText">
    <w:name w:val="footnote text"/>
    <w:basedOn w:val="Normal"/>
    <w:link w:val="FootnoteTextChar"/>
    <w:uiPriority w:val="99"/>
    <w:unhideWhenUsed/>
    <w:rsid w:val="002928E9"/>
    <w:rPr>
      <w:sz w:val="20"/>
      <w:szCs w:val="20"/>
    </w:rPr>
  </w:style>
  <w:style w:type="character" w:customStyle="1" w:styleId="FootnoteTextChar">
    <w:name w:val="Footnote Text Char"/>
    <w:basedOn w:val="DefaultParagraphFont"/>
    <w:link w:val="FootnoteText"/>
    <w:uiPriority w:val="99"/>
    <w:rsid w:val="002928E9"/>
    <w:rPr>
      <w:rFonts w:eastAsia="Times New Roman" w:cs="Times New Roman"/>
      <w:sz w:val="20"/>
      <w:szCs w:val="20"/>
    </w:rPr>
  </w:style>
  <w:style w:type="character" w:styleId="FootnoteReference">
    <w:name w:val="footnote reference"/>
    <w:uiPriority w:val="99"/>
    <w:semiHidden/>
    <w:unhideWhenUsed/>
    <w:rsid w:val="002928E9"/>
    <w:rPr>
      <w:vertAlign w:val="superscript"/>
    </w:rPr>
  </w:style>
  <w:style w:type="paragraph" w:styleId="NormalWeb">
    <w:name w:val="Normal (Web)"/>
    <w:basedOn w:val="Normal"/>
    <w:uiPriority w:val="99"/>
    <w:unhideWhenUsed/>
    <w:rsid w:val="002928E9"/>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7F40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0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6A631-0179-4AF5-A3C1-994599F0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Hai Nam</dc:creator>
  <cp:keywords/>
  <dc:description/>
  <cp:lastModifiedBy>Vu Hai Nam</cp:lastModifiedBy>
  <cp:revision>11</cp:revision>
  <cp:lastPrinted>2024-10-03T02:59:00Z</cp:lastPrinted>
  <dcterms:created xsi:type="dcterms:W3CDTF">2024-10-01T02:38:00Z</dcterms:created>
  <dcterms:modified xsi:type="dcterms:W3CDTF">2024-10-03T03:01:00Z</dcterms:modified>
</cp:coreProperties>
</file>